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097" w:rsidRPr="00B616F7" w:rsidRDefault="00943C71" w:rsidP="004E606A">
      <w:pPr>
        <w:pStyle w:val="OfcomSubheading"/>
        <w:rPr>
          <w:rStyle w:val="Hyperlink"/>
        </w:rPr>
      </w:pPr>
      <w:r>
        <w:rPr>
          <w:noProof/>
          <w:lang w:eastAsia="en-GB"/>
        </w:rPr>
        <w:drawing>
          <wp:anchor distT="0" distB="0" distL="114300" distR="114300" simplePos="0" relativeHeight="251658240" behindDoc="0" locked="0" layoutInCell="1" allowOverlap="1">
            <wp:simplePos x="0" y="0"/>
            <wp:positionH relativeFrom="column">
              <wp:posOffset>2867025</wp:posOffset>
            </wp:positionH>
            <wp:positionV relativeFrom="paragraph">
              <wp:posOffset>64770</wp:posOffset>
            </wp:positionV>
            <wp:extent cx="3057525" cy="895350"/>
            <wp:effectExtent l="19050" t="0" r="9525" b="0"/>
            <wp:wrapNone/>
            <wp:docPr id="29" name="Picture 29" descr="Ofcom_RGB_7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Ofcom_RGB_75mm"/>
                    <pic:cNvPicPr>
                      <a:picLocks noChangeAspect="1" noChangeArrowheads="1"/>
                    </pic:cNvPicPr>
                  </pic:nvPicPr>
                  <pic:blipFill>
                    <a:blip r:embed="rId8" cstate="print"/>
                    <a:srcRect/>
                    <a:stretch>
                      <a:fillRect/>
                    </a:stretch>
                  </pic:blipFill>
                  <pic:spPr bwMode="auto">
                    <a:xfrm>
                      <a:off x="0" y="0"/>
                      <a:ext cx="3057525" cy="895350"/>
                    </a:xfrm>
                    <a:prstGeom prst="rect">
                      <a:avLst/>
                    </a:prstGeom>
                    <a:noFill/>
                    <a:ln w="9525">
                      <a:noFill/>
                      <a:miter lim="800000"/>
                      <a:headEnd/>
                      <a:tailEnd/>
                    </a:ln>
                  </pic:spPr>
                </pic:pic>
              </a:graphicData>
            </a:graphic>
          </wp:anchor>
        </w:drawing>
      </w:r>
    </w:p>
    <w:tbl>
      <w:tblPr>
        <w:tblpPr w:leftFromText="180" w:rightFromText="180" w:vertAnchor="text" w:horzAnchor="margin" w:tblpX="108" w:tblpY="50"/>
        <w:tblW w:w="9057" w:type="dxa"/>
        <w:tblLayout w:type="fixed"/>
        <w:tblLook w:val="0000"/>
      </w:tblPr>
      <w:tblGrid>
        <w:gridCol w:w="4500"/>
        <w:gridCol w:w="1620"/>
        <w:gridCol w:w="2937"/>
      </w:tblGrid>
      <w:tr w:rsidR="00AE0097">
        <w:trPr>
          <w:trHeight w:val="713"/>
        </w:trPr>
        <w:tc>
          <w:tcPr>
            <w:tcW w:w="9057" w:type="dxa"/>
            <w:gridSpan w:val="3"/>
          </w:tcPr>
          <w:p w:rsidR="005B58B4" w:rsidRDefault="005B58B4" w:rsidP="005B58B4">
            <w:pPr>
              <w:pStyle w:val="OfcomMainHeading"/>
            </w:pPr>
          </w:p>
          <w:p w:rsidR="00AE0097" w:rsidRDefault="00AE0097" w:rsidP="005B58B4">
            <w:pPr>
              <w:pStyle w:val="OfcomMainHeading"/>
            </w:pPr>
          </w:p>
        </w:tc>
      </w:tr>
      <w:tr w:rsidR="00AE0097">
        <w:trPr>
          <w:trHeight w:val="194"/>
        </w:trPr>
        <w:tc>
          <w:tcPr>
            <w:tcW w:w="9057" w:type="dxa"/>
            <w:gridSpan w:val="3"/>
          </w:tcPr>
          <w:p w:rsidR="00AE0097" w:rsidRDefault="00AE0097" w:rsidP="00AE0097">
            <w:pPr>
              <w:rPr>
                <w:sz w:val="4"/>
                <w:szCs w:val="4"/>
              </w:rPr>
            </w:pPr>
          </w:p>
        </w:tc>
      </w:tr>
      <w:tr w:rsidR="00AE0097">
        <w:trPr>
          <w:trHeight w:val="713"/>
        </w:trPr>
        <w:tc>
          <w:tcPr>
            <w:tcW w:w="9057" w:type="dxa"/>
            <w:gridSpan w:val="3"/>
          </w:tcPr>
          <w:p w:rsidR="00AE0097" w:rsidRDefault="002D3002" w:rsidP="00AE0097">
            <w:pPr>
              <w:pStyle w:val="OfcomMainHeading"/>
            </w:pPr>
            <w:r>
              <w:t>LTE Model – MATLAB Source Code</w:t>
            </w:r>
          </w:p>
        </w:tc>
      </w:tr>
      <w:tr w:rsidR="00AE0097">
        <w:trPr>
          <w:trHeight w:val="204"/>
        </w:trPr>
        <w:tc>
          <w:tcPr>
            <w:tcW w:w="9057" w:type="dxa"/>
            <w:gridSpan w:val="3"/>
          </w:tcPr>
          <w:p w:rsidR="00AE0097" w:rsidRDefault="002D3002" w:rsidP="002D3002">
            <w:pPr>
              <w:pStyle w:val="OfcomSubheading"/>
            </w:pPr>
            <w:r>
              <w:t>For s</w:t>
            </w:r>
            <w:r w:rsidRPr="002D3002">
              <w:t>econd consultation on assessment of future mobile competition and proposals for the award of 800 MHz and 2.6 GHz spectrum and related issues</w:t>
            </w:r>
            <w:r>
              <w:t xml:space="preserve"> – January 2012</w:t>
            </w:r>
          </w:p>
        </w:tc>
      </w:tr>
      <w:tr w:rsidR="00AE0097">
        <w:trPr>
          <w:trHeight w:val="7936"/>
        </w:trPr>
        <w:tc>
          <w:tcPr>
            <w:tcW w:w="4500" w:type="dxa"/>
          </w:tcPr>
          <w:p w:rsidR="00AE0097" w:rsidRDefault="00AE0097" w:rsidP="00EF2A04">
            <w:pPr>
              <w:pStyle w:val="OfcomSubheading"/>
            </w:pPr>
          </w:p>
        </w:tc>
        <w:tc>
          <w:tcPr>
            <w:tcW w:w="4557" w:type="dxa"/>
            <w:gridSpan w:val="2"/>
          </w:tcPr>
          <w:p w:rsidR="00AE0097" w:rsidRDefault="00AE0097" w:rsidP="00B1624A">
            <w:pPr>
              <w:pStyle w:val="OfcomSubheading"/>
              <w:ind w:left="-12" w:firstLine="0"/>
            </w:pPr>
          </w:p>
        </w:tc>
      </w:tr>
      <w:tr w:rsidR="00AE0097">
        <w:trPr>
          <w:trHeight w:val="533"/>
        </w:trPr>
        <w:tc>
          <w:tcPr>
            <w:tcW w:w="6120" w:type="dxa"/>
            <w:gridSpan w:val="2"/>
          </w:tcPr>
          <w:p w:rsidR="00AE0097" w:rsidRDefault="00AE0097" w:rsidP="00EF2A04">
            <w:pPr>
              <w:pStyle w:val="OfcomSubheading"/>
            </w:pPr>
          </w:p>
        </w:tc>
        <w:tc>
          <w:tcPr>
            <w:tcW w:w="2937" w:type="dxa"/>
          </w:tcPr>
          <w:p w:rsidR="00AE0097" w:rsidRPr="00DA6076" w:rsidRDefault="00AE0097" w:rsidP="00266189">
            <w:pPr>
              <w:pStyle w:val="OfcomSubheading"/>
              <w:ind w:left="0" w:firstLine="0"/>
              <w:jc w:val="left"/>
            </w:pPr>
          </w:p>
        </w:tc>
      </w:tr>
      <w:tr w:rsidR="00AE0097">
        <w:trPr>
          <w:trHeight w:val="533"/>
        </w:trPr>
        <w:tc>
          <w:tcPr>
            <w:tcW w:w="6120" w:type="dxa"/>
            <w:gridSpan w:val="2"/>
          </w:tcPr>
          <w:p w:rsidR="00AE0097" w:rsidRDefault="00AE0097" w:rsidP="007A521B">
            <w:pPr>
              <w:pStyle w:val="OfcomSubheading"/>
            </w:pPr>
            <w:r>
              <w:t>Publication date:</w:t>
            </w:r>
          </w:p>
        </w:tc>
        <w:tc>
          <w:tcPr>
            <w:tcW w:w="2937" w:type="dxa"/>
          </w:tcPr>
          <w:p w:rsidR="00AE0097" w:rsidRDefault="00CC1BDD" w:rsidP="00B1624A">
            <w:pPr>
              <w:pStyle w:val="OfcomDates"/>
              <w:framePr w:hSpace="0" w:wrap="auto" w:vAnchor="margin" w:hAnchor="text" w:xAlign="left" w:yAlign="inline"/>
            </w:pPr>
            <w:r>
              <w:t>26 January 2012</w:t>
            </w:r>
          </w:p>
        </w:tc>
      </w:tr>
    </w:tbl>
    <w:p w:rsidR="00AE0097" w:rsidRDefault="00B77E78" w:rsidP="004E606A">
      <w:pPr>
        <w:pStyle w:val="OfcomSubheading"/>
      </w:pPr>
      <w:r>
        <w:pict>
          <v:line id="_x0000_s1026" style="position:absolute;left:0;text-align:left;z-index:251657216;mso-position-horizontal-relative:text;mso-position-vertical-relative:text" from="-.75pt,-76.75pt" to="-.75pt,769.25pt" strokecolor="#c03"/>
        </w:pict>
      </w:r>
    </w:p>
    <w:p w:rsidR="00AE0097" w:rsidRDefault="00AE0097" w:rsidP="003157F2">
      <w:pPr>
        <w:pStyle w:val="ContentsHeading"/>
      </w:pPr>
      <w:r>
        <w:br w:type="page"/>
      </w:r>
    </w:p>
    <w:p w:rsidR="00AE0097" w:rsidRDefault="00AE0097" w:rsidP="005459E1">
      <w:pPr>
        <w:pStyle w:val="ContentsHeading"/>
      </w:pPr>
    </w:p>
    <w:p w:rsidR="00AE0097" w:rsidRDefault="00AE0097" w:rsidP="005459E1">
      <w:pPr>
        <w:pStyle w:val="ContentsHeading"/>
        <w:sectPr w:rsidR="00AE0097" w:rsidSect="005B4860">
          <w:headerReference w:type="even" r:id="rId9"/>
          <w:footerReference w:type="even" r:id="rId10"/>
          <w:pgSz w:w="11906" w:h="16838" w:code="9"/>
          <w:pgMar w:top="1440" w:right="1440" w:bottom="1440" w:left="1440" w:header="709" w:footer="709" w:gutter="0"/>
          <w:pgNumType w:start="0"/>
          <w:cols w:space="708"/>
          <w:titlePg/>
          <w:docGrid w:linePitch="360"/>
        </w:sectPr>
      </w:pPr>
    </w:p>
    <w:p w:rsidR="00FC1BBA" w:rsidRDefault="00FC1BBA" w:rsidP="00FC1BBA">
      <w:pPr>
        <w:pStyle w:val="ContentsHeading"/>
      </w:pPr>
      <w:r>
        <w:lastRenderedPageBreak/>
        <w:t>Contents</w:t>
      </w:r>
    </w:p>
    <w:p w:rsidR="00FC1BBA" w:rsidRPr="00FC1BBA" w:rsidRDefault="00FC1BBA" w:rsidP="004E606A">
      <w:pPr>
        <w:pStyle w:val="TOC1referencesSectionLevel1"/>
      </w:pPr>
    </w:p>
    <w:tbl>
      <w:tblPr>
        <w:tblW w:w="9057" w:type="dxa"/>
        <w:tblInd w:w="108" w:type="dxa"/>
        <w:tblLook w:val="01E0"/>
      </w:tblPr>
      <w:tblGrid>
        <w:gridCol w:w="1800"/>
        <w:gridCol w:w="6300"/>
        <w:gridCol w:w="957"/>
      </w:tblGrid>
      <w:tr w:rsidR="00FC1BBA">
        <w:tc>
          <w:tcPr>
            <w:tcW w:w="1800" w:type="dxa"/>
            <w:tcBorders>
              <w:top w:val="nil"/>
              <w:left w:val="nil"/>
              <w:bottom w:val="nil"/>
              <w:right w:val="nil"/>
            </w:tcBorders>
          </w:tcPr>
          <w:p w:rsidR="00FC1BBA" w:rsidRDefault="00FC1BBA" w:rsidP="005C627F">
            <w:pPr>
              <w:pStyle w:val="TOCHeading"/>
            </w:pPr>
            <w:r>
              <w:t>Section</w:t>
            </w:r>
          </w:p>
        </w:tc>
        <w:tc>
          <w:tcPr>
            <w:tcW w:w="6300" w:type="dxa"/>
            <w:tcBorders>
              <w:top w:val="nil"/>
              <w:left w:val="nil"/>
              <w:bottom w:val="nil"/>
              <w:right w:val="nil"/>
            </w:tcBorders>
          </w:tcPr>
          <w:p w:rsidR="00FC1BBA" w:rsidRDefault="00FC1BBA" w:rsidP="005C627F">
            <w:pPr>
              <w:pStyle w:val="TOCHeading"/>
            </w:pPr>
          </w:p>
        </w:tc>
        <w:tc>
          <w:tcPr>
            <w:tcW w:w="957" w:type="dxa"/>
            <w:tcBorders>
              <w:top w:val="nil"/>
              <w:left w:val="nil"/>
              <w:bottom w:val="nil"/>
              <w:right w:val="nil"/>
            </w:tcBorders>
          </w:tcPr>
          <w:p w:rsidR="00FC1BBA" w:rsidRPr="00E40905" w:rsidRDefault="00FC1BBA" w:rsidP="005C627F">
            <w:pPr>
              <w:pStyle w:val="TOCHeading"/>
            </w:pPr>
            <w:r w:rsidRPr="00E40905">
              <w:t>Page</w:t>
            </w:r>
          </w:p>
        </w:tc>
      </w:tr>
    </w:tbl>
    <w:p w:rsidR="00A02AA5" w:rsidRDefault="00B77E78">
      <w:pPr>
        <w:pStyle w:val="TOC1"/>
        <w:rPr>
          <w:rFonts w:asciiTheme="minorHAnsi" w:eastAsiaTheme="minorEastAsia" w:hAnsiTheme="minorHAnsi" w:cstheme="minorBidi"/>
          <w:noProof/>
          <w:szCs w:val="22"/>
          <w:lang w:eastAsia="en-GB"/>
        </w:rPr>
      </w:pPr>
      <w:r>
        <w:fldChar w:fldCharType="begin"/>
      </w:r>
      <w:r w:rsidR="0059746C">
        <w:instrText xml:space="preserve"> TOC \h \z \t "Section Level 1,1" </w:instrText>
      </w:r>
      <w:r>
        <w:fldChar w:fldCharType="separate"/>
      </w:r>
      <w:hyperlink w:anchor="_Toc315091944" w:history="1">
        <w:r w:rsidR="00A02AA5" w:rsidRPr="00372614">
          <w:rPr>
            <w:rStyle w:val="Hyperlink"/>
            <w:noProof/>
          </w:rPr>
          <w:t>1</w:t>
        </w:r>
        <w:r w:rsidR="00A02AA5">
          <w:rPr>
            <w:rFonts w:asciiTheme="minorHAnsi" w:eastAsiaTheme="minorEastAsia" w:hAnsiTheme="minorHAnsi" w:cstheme="minorBidi"/>
            <w:noProof/>
            <w:szCs w:val="22"/>
            <w:lang w:eastAsia="en-GB"/>
          </w:rPr>
          <w:tab/>
        </w:r>
        <w:r w:rsidR="00A02AA5" w:rsidRPr="00372614">
          <w:rPr>
            <w:rStyle w:val="Hyperlink"/>
            <w:noProof/>
          </w:rPr>
          <w:t>Source code files</w:t>
        </w:r>
        <w:r w:rsidR="00A02AA5">
          <w:rPr>
            <w:noProof/>
            <w:webHidden/>
          </w:rPr>
          <w:tab/>
        </w:r>
        <w:r>
          <w:rPr>
            <w:noProof/>
            <w:webHidden/>
          </w:rPr>
          <w:fldChar w:fldCharType="begin"/>
        </w:r>
        <w:r w:rsidR="00A02AA5">
          <w:rPr>
            <w:noProof/>
            <w:webHidden/>
          </w:rPr>
          <w:instrText xml:space="preserve"> PAGEREF _Toc315091944 \h </w:instrText>
        </w:r>
        <w:r>
          <w:rPr>
            <w:noProof/>
            <w:webHidden/>
          </w:rPr>
        </w:r>
        <w:r>
          <w:rPr>
            <w:noProof/>
            <w:webHidden/>
          </w:rPr>
          <w:fldChar w:fldCharType="separate"/>
        </w:r>
        <w:r w:rsidR="00A02AA5">
          <w:rPr>
            <w:noProof/>
            <w:webHidden/>
          </w:rPr>
          <w:t>1</w:t>
        </w:r>
        <w:r>
          <w:rPr>
            <w:noProof/>
            <w:webHidden/>
          </w:rPr>
          <w:fldChar w:fldCharType="end"/>
        </w:r>
      </w:hyperlink>
    </w:p>
    <w:p w:rsidR="005C627F" w:rsidRDefault="00B77E78" w:rsidP="005459E1">
      <w:pPr>
        <w:pStyle w:val="TOC1"/>
      </w:pPr>
      <w:r>
        <w:fldChar w:fldCharType="end"/>
      </w:r>
    </w:p>
    <w:p w:rsidR="009F287E" w:rsidRDefault="009F287E" w:rsidP="0059746C">
      <w:pPr>
        <w:pStyle w:val="SectionNumber"/>
      </w:pPr>
      <w:bookmarkStart w:id="0" w:name="_Toc130806236"/>
      <w:r>
        <w:lastRenderedPageBreak/>
        <w:t>Section 1</w:t>
      </w:r>
    </w:p>
    <w:p w:rsidR="005459E1" w:rsidRDefault="002D3002" w:rsidP="005459E1">
      <w:pPr>
        <w:pStyle w:val="SectionLevel1"/>
      </w:pPr>
      <w:bookmarkStart w:id="1" w:name="_Toc315091944"/>
      <w:r>
        <w:t>Source code files</w:t>
      </w:r>
      <w:bookmarkEnd w:id="1"/>
    </w:p>
    <w:p w:rsidR="002D3002" w:rsidRDefault="002D3002" w:rsidP="002D3002">
      <w:pPr>
        <w:pStyle w:val="SectionLevel2"/>
        <w:rPr>
          <w:lang w:eastAsia="en-GB"/>
        </w:rPr>
      </w:pPr>
      <w:r>
        <w:rPr>
          <w:lang w:eastAsia="en-GB"/>
        </w:rPr>
        <w:t>Introduction</w:t>
      </w:r>
    </w:p>
    <w:p w:rsidR="002D3002" w:rsidRDefault="00417BAA" w:rsidP="002D3002">
      <w:pPr>
        <w:pStyle w:val="SectionBodyText"/>
        <w:rPr>
          <w:lang w:eastAsia="en-GB"/>
        </w:rPr>
      </w:pPr>
      <w:r>
        <w:rPr>
          <w:lang w:eastAsia="en-GB"/>
        </w:rPr>
        <w:t>The t</w:t>
      </w:r>
      <w:r w:rsidR="002D3002">
        <w:rPr>
          <w:lang w:eastAsia="en-GB"/>
        </w:rPr>
        <w:t>able</w:t>
      </w:r>
      <w:r>
        <w:rPr>
          <w:lang w:eastAsia="en-GB"/>
        </w:rPr>
        <w:t>s</w:t>
      </w:r>
      <w:r w:rsidR="002D3002">
        <w:rPr>
          <w:lang w:eastAsia="en-GB"/>
        </w:rPr>
        <w:t xml:space="preserve"> below lists the source code files</w:t>
      </w:r>
      <w:r w:rsidR="00CB149E">
        <w:rPr>
          <w:lang w:eastAsia="en-GB"/>
        </w:rPr>
        <w:t xml:space="preserve"> that comprise the technical model used to generate the results in Annex 7 of the</w:t>
      </w:r>
      <w:r w:rsidR="002D3002">
        <w:rPr>
          <w:lang w:eastAsia="en-GB"/>
        </w:rPr>
        <w:t xml:space="preserve"> </w:t>
      </w:r>
      <w:r w:rsidR="00CB149E">
        <w:rPr>
          <w:lang w:eastAsia="en-GB"/>
        </w:rPr>
        <w:t>‘</w:t>
      </w:r>
      <w:r w:rsidR="002D3002" w:rsidRPr="002D3002">
        <w:rPr>
          <w:lang w:eastAsia="en-GB"/>
        </w:rPr>
        <w:t>Second consultation on assessment of future mobile competition and proposals for the award of 800 MHz and 2.6 GHz spectrum and related issues</w:t>
      </w:r>
      <w:r w:rsidR="002D3002">
        <w:rPr>
          <w:lang w:eastAsia="en-GB"/>
        </w:rPr>
        <w:t>, January 2012</w:t>
      </w:r>
      <w:r w:rsidR="00CB149E">
        <w:rPr>
          <w:lang w:eastAsia="en-GB"/>
        </w:rPr>
        <w:t>’</w:t>
      </w:r>
      <w:r w:rsidR="002D3002">
        <w:rPr>
          <w:lang w:eastAsia="en-GB"/>
        </w:rPr>
        <w:t xml:space="preserve"> (the January 2012 </w:t>
      </w:r>
      <w:r w:rsidR="009D2D06">
        <w:rPr>
          <w:lang w:eastAsia="en-GB"/>
        </w:rPr>
        <w:t>c</w:t>
      </w:r>
      <w:r w:rsidR="002D3002">
        <w:rPr>
          <w:lang w:eastAsia="en-GB"/>
        </w:rPr>
        <w:t>onsultation)</w:t>
      </w:r>
      <w:r w:rsidR="002D3002">
        <w:rPr>
          <w:rStyle w:val="FootnoteReference"/>
          <w:lang w:eastAsia="en-GB"/>
        </w:rPr>
        <w:footnoteReference w:id="2"/>
      </w:r>
      <w:r w:rsidR="002D3002">
        <w:rPr>
          <w:lang w:eastAsia="en-GB"/>
        </w:rPr>
        <w:t>.</w:t>
      </w:r>
    </w:p>
    <w:p w:rsidR="00417BAA" w:rsidRDefault="00B77E78" w:rsidP="00417BAA">
      <w:pPr>
        <w:pStyle w:val="AnnexBullets"/>
        <w:rPr>
          <w:lang w:eastAsia="en-GB"/>
        </w:rPr>
      </w:pPr>
      <w:r>
        <w:rPr>
          <w:lang w:eastAsia="en-GB"/>
        </w:rPr>
        <w:fldChar w:fldCharType="begin"/>
      </w:r>
      <w:r w:rsidR="00417BAA">
        <w:rPr>
          <w:lang w:eastAsia="en-GB"/>
        </w:rPr>
        <w:instrText xml:space="preserve"> REF _Ref315076166 \h </w:instrText>
      </w:r>
      <w:r>
        <w:rPr>
          <w:lang w:eastAsia="en-GB"/>
        </w:rPr>
      </w:r>
      <w:r>
        <w:rPr>
          <w:lang w:eastAsia="en-GB"/>
        </w:rPr>
        <w:fldChar w:fldCharType="separate"/>
      </w:r>
      <w:r w:rsidR="00417BAA">
        <w:t xml:space="preserve">Table </w:t>
      </w:r>
      <w:r w:rsidR="00417BAA">
        <w:rPr>
          <w:noProof/>
        </w:rPr>
        <w:t>1</w:t>
      </w:r>
      <w:r>
        <w:rPr>
          <w:lang w:eastAsia="en-GB"/>
        </w:rPr>
        <w:fldChar w:fldCharType="end"/>
      </w:r>
      <w:r w:rsidR="00417BAA">
        <w:rPr>
          <w:lang w:eastAsia="en-GB"/>
        </w:rPr>
        <w:t xml:space="preserve"> lists the MATLAB class files</w:t>
      </w:r>
    </w:p>
    <w:p w:rsidR="00417BAA" w:rsidRDefault="00B77E78" w:rsidP="00417BAA">
      <w:pPr>
        <w:pStyle w:val="AnnexBullets"/>
        <w:rPr>
          <w:lang w:eastAsia="en-GB"/>
        </w:rPr>
      </w:pPr>
      <w:r>
        <w:rPr>
          <w:lang w:eastAsia="en-GB"/>
        </w:rPr>
        <w:fldChar w:fldCharType="begin"/>
      </w:r>
      <w:r w:rsidR="00417BAA">
        <w:rPr>
          <w:lang w:eastAsia="en-GB"/>
        </w:rPr>
        <w:instrText xml:space="preserve"> REF _Ref315076176 \h </w:instrText>
      </w:r>
      <w:r>
        <w:rPr>
          <w:lang w:eastAsia="en-GB"/>
        </w:rPr>
      </w:r>
      <w:r>
        <w:rPr>
          <w:lang w:eastAsia="en-GB"/>
        </w:rPr>
        <w:fldChar w:fldCharType="separate"/>
      </w:r>
      <w:r w:rsidR="00417BAA">
        <w:t xml:space="preserve">Table </w:t>
      </w:r>
      <w:r w:rsidR="00417BAA">
        <w:rPr>
          <w:noProof/>
        </w:rPr>
        <w:t>2</w:t>
      </w:r>
      <w:r>
        <w:rPr>
          <w:lang w:eastAsia="en-GB"/>
        </w:rPr>
        <w:fldChar w:fldCharType="end"/>
      </w:r>
      <w:r w:rsidR="00417BAA">
        <w:rPr>
          <w:lang w:eastAsia="en-GB"/>
        </w:rPr>
        <w:t xml:space="preserve"> lists the MATLAB function files</w:t>
      </w:r>
    </w:p>
    <w:p w:rsidR="00417BAA" w:rsidRDefault="00B77E78" w:rsidP="00417BAA">
      <w:pPr>
        <w:pStyle w:val="AnnexBullets"/>
        <w:rPr>
          <w:lang w:eastAsia="en-GB"/>
        </w:rPr>
      </w:pPr>
      <w:r>
        <w:rPr>
          <w:lang w:eastAsia="en-GB"/>
        </w:rPr>
        <w:fldChar w:fldCharType="begin"/>
      </w:r>
      <w:r w:rsidR="00417BAA">
        <w:rPr>
          <w:lang w:eastAsia="en-GB"/>
        </w:rPr>
        <w:instrText xml:space="preserve"> REF _Ref315076180 \h </w:instrText>
      </w:r>
      <w:r>
        <w:rPr>
          <w:lang w:eastAsia="en-GB"/>
        </w:rPr>
      </w:r>
      <w:r>
        <w:rPr>
          <w:lang w:eastAsia="en-GB"/>
        </w:rPr>
        <w:fldChar w:fldCharType="separate"/>
      </w:r>
      <w:r w:rsidR="00417BAA">
        <w:t xml:space="preserve">Table </w:t>
      </w:r>
      <w:r w:rsidR="00417BAA">
        <w:rPr>
          <w:noProof/>
        </w:rPr>
        <w:t>3</w:t>
      </w:r>
      <w:r>
        <w:rPr>
          <w:lang w:eastAsia="en-GB"/>
        </w:rPr>
        <w:fldChar w:fldCharType="end"/>
      </w:r>
      <w:r w:rsidR="00417BAA">
        <w:rPr>
          <w:lang w:eastAsia="en-GB"/>
        </w:rPr>
        <w:t xml:space="preserve"> lists the MATLAB script files</w:t>
      </w:r>
    </w:p>
    <w:p w:rsidR="00417BAA" w:rsidRDefault="00B77E78" w:rsidP="00417BAA">
      <w:pPr>
        <w:pStyle w:val="AnnexBullets"/>
        <w:rPr>
          <w:lang w:eastAsia="en-GB"/>
        </w:rPr>
      </w:pPr>
      <w:r>
        <w:rPr>
          <w:lang w:eastAsia="en-GB"/>
        </w:rPr>
        <w:fldChar w:fldCharType="begin"/>
      </w:r>
      <w:r w:rsidR="00A02AA5">
        <w:rPr>
          <w:lang w:eastAsia="en-GB"/>
        </w:rPr>
        <w:instrText xml:space="preserve"> REF _Ref315092056 \h </w:instrText>
      </w:r>
      <w:r>
        <w:rPr>
          <w:lang w:eastAsia="en-GB"/>
        </w:rPr>
      </w:r>
      <w:r>
        <w:rPr>
          <w:lang w:eastAsia="en-GB"/>
        </w:rPr>
        <w:fldChar w:fldCharType="separate"/>
      </w:r>
      <w:r w:rsidR="00A02AA5">
        <w:t xml:space="preserve">Table </w:t>
      </w:r>
      <w:r w:rsidR="00A02AA5">
        <w:rPr>
          <w:noProof/>
        </w:rPr>
        <w:t>4</w:t>
      </w:r>
      <w:r>
        <w:rPr>
          <w:lang w:eastAsia="en-GB"/>
        </w:rPr>
        <w:fldChar w:fldCharType="end"/>
      </w:r>
      <w:r w:rsidR="00417BAA">
        <w:rPr>
          <w:lang w:eastAsia="en-GB"/>
        </w:rPr>
        <w:t xml:space="preserve"> lists the Excel spreadsheet </w:t>
      </w:r>
      <w:r w:rsidR="00A12A0B">
        <w:rPr>
          <w:lang w:eastAsia="en-GB"/>
        </w:rPr>
        <w:t xml:space="preserve">template </w:t>
      </w:r>
      <w:r w:rsidR="00417BAA">
        <w:rPr>
          <w:lang w:eastAsia="en-GB"/>
        </w:rPr>
        <w:t>files</w:t>
      </w:r>
    </w:p>
    <w:p w:rsidR="009D2D06" w:rsidRDefault="00CB149E" w:rsidP="002D3002">
      <w:pPr>
        <w:pStyle w:val="SectionBodyText"/>
        <w:rPr>
          <w:lang w:eastAsia="en-GB"/>
        </w:rPr>
      </w:pPr>
      <w:r>
        <w:rPr>
          <w:lang w:eastAsia="en-GB"/>
        </w:rPr>
        <w:t xml:space="preserve">The technical model has been developed using the MATLAB numerical computing language. It is an evolution of the model developed for the </w:t>
      </w:r>
      <w:r w:rsidR="009D2D06">
        <w:rPr>
          <w:lang w:eastAsia="en-GB"/>
        </w:rPr>
        <w:t>‘</w:t>
      </w:r>
      <w:r w:rsidR="009D2D06" w:rsidRPr="009D2D06">
        <w:rPr>
          <w:lang w:eastAsia="en-GB"/>
        </w:rPr>
        <w:t>Assessment of future mobile competition and proposals for the award of 800 MHz and 2.6 GHz spectrum and related issues</w:t>
      </w:r>
      <w:r w:rsidR="009D2D06">
        <w:rPr>
          <w:lang w:eastAsia="en-GB"/>
        </w:rPr>
        <w:t>, March 2011’,</w:t>
      </w:r>
      <w:r w:rsidR="009D2D06" w:rsidRPr="009D2D06">
        <w:rPr>
          <w:lang w:eastAsia="en-GB"/>
        </w:rPr>
        <w:t xml:space="preserve"> </w:t>
      </w:r>
      <w:r w:rsidR="009D2D06">
        <w:rPr>
          <w:lang w:eastAsia="en-GB"/>
        </w:rPr>
        <w:t xml:space="preserve">(the </w:t>
      </w:r>
      <w:r>
        <w:rPr>
          <w:lang w:eastAsia="en-GB"/>
        </w:rPr>
        <w:t>March 2011 consultation</w:t>
      </w:r>
      <w:r w:rsidR="009D2D06">
        <w:rPr>
          <w:lang w:eastAsia="en-GB"/>
        </w:rPr>
        <w:t>)</w:t>
      </w:r>
      <w:r w:rsidR="009D2D06">
        <w:rPr>
          <w:rStyle w:val="FootnoteReference"/>
          <w:lang w:eastAsia="en-GB"/>
        </w:rPr>
        <w:footnoteReference w:id="3"/>
      </w:r>
      <w:r w:rsidR="009D2D06">
        <w:rPr>
          <w:lang w:eastAsia="en-GB"/>
        </w:rPr>
        <w:t>.</w:t>
      </w:r>
    </w:p>
    <w:p w:rsidR="002D3002" w:rsidRDefault="009D2D06" w:rsidP="002D3002">
      <w:pPr>
        <w:pStyle w:val="SectionBodyText"/>
        <w:rPr>
          <w:lang w:eastAsia="en-GB"/>
        </w:rPr>
      </w:pPr>
      <w:r>
        <w:t>The version of MATLAB we used was the latest available to us (2011b), we cannot guarantee that the source code will work with any other version</w:t>
      </w:r>
      <w:r w:rsidR="00724CE3">
        <w:t>.</w:t>
      </w:r>
    </w:p>
    <w:p w:rsidR="00CC4A1C" w:rsidRDefault="00CC4A1C" w:rsidP="00CC4A1C">
      <w:pPr>
        <w:pStyle w:val="Caption"/>
      </w:pPr>
      <w:bookmarkStart w:id="2" w:name="_Ref315076166"/>
      <w:r>
        <w:t xml:space="preserve">Table </w:t>
      </w:r>
      <w:fldSimple w:instr=" SEQ Table \* ARABIC ">
        <w:r w:rsidR="00A02AA5">
          <w:rPr>
            <w:noProof/>
          </w:rPr>
          <w:t>1</w:t>
        </w:r>
      </w:fldSimple>
      <w:bookmarkEnd w:id="2"/>
      <w:r>
        <w:t>: Class files</w:t>
      </w:r>
    </w:p>
    <w:tbl>
      <w:tblPr>
        <w:tblStyle w:val="TableGrid"/>
        <w:tblW w:w="0" w:type="auto"/>
        <w:tblLook w:val="04A0"/>
      </w:tblPr>
      <w:tblGrid>
        <w:gridCol w:w="2956"/>
        <w:gridCol w:w="1179"/>
        <w:gridCol w:w="5107"/>
      </w:tblGrid>
      <w:tr w:rsidR="00724CE3" w:rsidRPr="00724CE3" w:rsidTr="00C755E4">
        <w:trPr>
          <w:cantSplit/>
        </w:trPr>
        <w:tc>
          <w:tcPr>
            <w:tcW w:w="2956" w:type="dxa"/>
          </w:tcPr>
          <w:p w:rsidR="00724CE3" w:rsidRPr="00724CE3" w:rsidRDefault="00A941AE" w:rsidP="00A941AE">
            <w:pPr>
              <w:pStyle w:val="SectionBodyText"/>
              <w:spacing w:before="60" w:after="60"/>
              <w:rPr>
                <w:b/>
                <w:color w:val="C00000"/>
                <w:lang w:eastAsia="en-GB"/>
              </w:rPr>
            </w:pPr>
            <w:r>
              <w:rPr>
                <w:b/>
                <w:color w:val="C00000"/>
                <w:lang w:eastAsia="en-GB"/>
              </w:rPr>
              <w:t>Class f</w:t>
            </w:r>
            <w:r w:rsidR="00724CE3" w:rsidRPr="00724CE3">
              <w:rPr>
                <w:b/>
                <w:color w:val="C00000"/>
                <w:lang w:eastAsia="en-GB"/>
              </w:rPr>
              <w:t>ile name</w:t>
            </w:r>
          </w:p>
        </w:tc>
        <w:tc>
          <w:tcPr>
            <w:tcW w:w="1179" w:type="dxa"/>
          </w:tcPr>
          <w:p w:rsidR="00724CE3" w:rsidRPr="00724CE3" w:rsidRDefault="00724CE3" w:rsidP="00724CE3">
            <w:pPr>
              <w:pStyle w:val="SectionBodyText"/>
              <w:spacing w:before="60" w:after="60"/>
              <w:jc w:val="center"/>
              <w:rPr>
                <w:b/>
                <w:color w:val="C00000"/>
                <w:lang w:eastAsia="en-GB"/>
              </w:rPr>
            </w:pPr>
            <w:r>
              <w:rPr>
                <w:b/>
                <w:color w:val="C00000"/>
                <w:lang w:eastAsia="en-GB"/>
              </w:rPr>
              <w:t>Version</w:t>
            </w:r>
          </w:p>
        </w:tc>
        <w:tc>
          <w:tcPr>
            <w:tcW w:w="5107" w:type="dxa"/>
          </w:tcPr>
          <w:p w:rsidR="00724CE3" w:rsidRPr="00724CE3" w:rsidRDefault="00724CE3" w:rsidP="00724CE3">
            <w:pPr>
              <w:pStyle w:val="SectionBodyText"/>
              <w:spacing w:before="60" w:after="60"/>
              <w:rPr>
                <w:b/>
                <w:color w:val="C00000"/>
                <w:lang w:eastAsia="en-GB"/>
              </w:rPr>
            </w:pPr>
            <w:r w:rsidRPr="00724CE3">
              <w:rPr>
                <w:b/>
                <w:color w:val="C00000"/>
                <w:lang w:eastAsia="en-GB"/>
              </w:rPr>
              <w:t>Description</w:t>
            </w:r>
          </w:p>
        </w:tc>
      </w:tr>
      <w:tr w:rsidR="00724CE3" w:rsidTr="00C755E4">
        <w:trPr>
          <w:cantSplit/>
        </w:trPr>
        <w:tc>
          <w:tcPr>
            <w:tcW w:w="2956" w:type="dxa"/>
          </w:tcPr>
          <w:p w:rsidR="00724CE3" w:rsidRDefault="00724CE3" w:rsidP="00724CE3">
            <w:pPr>
              <w:pStyle w:val="SectionBodyText"/>
              <w:spacing w:before="60" w:after="60"/>
              <w:rPr>
                <w:lang w:eastAsia="en-GB"/>
              </w:rPr>
            </w:pPr>
            <w:r>
              <w:rPr>
                <w:lang w:eastAsia="en-GB"/>
              </w:rPr>
              <w:t>Antenna.m</w:t>
            </w:r>
          </w:p>
        </w:tc>
        <w:tc>
          <w:tcPr>
            <w:tcW w:w="1179" w:type="dxa"/>
          </w:tcPr>
          <w:p w:rsidR="00724CE3" w:rsidRDefault="00724CE3" w:rsidP="00724CE3">
            <w:pPr>
              <w:pStyle w:val="SectionBodyText"/>
              <w:spacing w:before="60" w:after="60"/>
              <w:jc w:val="center"/>
              <w:rPr>
                <w:lang w:eastAsia="en-GB"/>
              </w:rPr>
            </w:pPr>
            <w:r>
              <w:rPr>
                <w:lang w:eastAsia="en-GB"/>
              </w:rPr>
              <w:t>1.0</w:t>
            </w:r>
          </w:p>
        </w:tc>
        <w:tc>
          <w:tcPr>
            <w:tcW w:w="5107" w:type="dxa"/>
          </w:tcPr>
          <w:p w:rsidR="00724CE3" w:rsidRDefault="00724CE3" w:rsidP="00724CE3">
            <w:pPr>
              <w:pStyle w:val="SectionBodyText"/>
              <w:spacing w:before="60" w:after="60"/>
              <w:rPr>
                <w:lang w:eastAsia="en-GB"/>
              </w:rPr>
            </w:pPr>
            <w:r>
              <w:rPr>
                <w:lang w:eastAsia="en-GB"/>
              </w:rPr>
              <w:t>Class to model antenna objects using a theoretical pattern based on that given in 3GPP 36.814 Annex A Table A.2.1.1-2</w:t>
            </w:r>
          </w:p>
        </w:tc>
      </w:tr>
      <w:tr w:rsidR="00F43124" w:rsidTr="00C755E4">
        <w:trPr>
          <w:cantSplit/>
        </w:trPr>
        <w:tc>
          <w:tcPr>
            <w:tcW w:w="2956" w:type="dxa"/>
          </w:tcPr>
          <w:p w:rsidR="00F43124" w:rsidRDefault="00F43124" w:rsidP="00724CE3">
            <w:pPr>
              <w:pStyle w:val="SectionBodyText"/>
              <w:spacing w:before="60" w:after="60"/>
              <w:rPr>
                <w:lang w:eastAsia="en-GB"/>
              </w:rPr>
            </w:pPr>
            <w:r>
              <w:rPr>
                <w:lang w:eastAsia="en-GB"/>
              </w:rPr>
              <w:t>Point.m</w:t>
            </w:r>
          </w:p>
        </w:tc>
        <w:tc>
          <w:tcPr>
            <w:tcW w:w="1179" w:type="dxa"/>
          </w:tcPr>
          <w:p w:rsidR="00F43124" w:rsidRDefault="00F43124" w:rsidP="00724CE3">
            <w:pPr>
              <w:pStyle w:val="SectionBodyText"/>
              <w:spacing w:before="60" w:after="60"/>
              <w:jc w:val="center"/>
              <w:rPr>
                <w:lang w:eastAsia="en-GB"/>
              </w:rPr>
            </w:pPr>
            <w:r>
              <w:rPr>
                <w:lang w:eastAsia="en-GB"/>
              </w:rPr>
              <w:t>1.0</w:t>
            </w:r>
          </w:p>
        </w:tc>
        <w:tc>
          <w:tcPr>
            <w:tcW w:w="5107" w:type="dxa"/>
          </w:tcPr>
          <w:p w:rsidR="00F43124" w:rsidRDefault="00F43124" w:rsidP="00724CE3">
            <w:pPr>
              <w:pStyle w:val="SectionBodyText"/>
              <w:spacing w:before="60" w:after="60"/>
              <w:rPr>
                <w:lang w:eastAsia="en-GB"/>
              </w:rPr>
            </w:pPr>
            <w:r w:rsidRPr="00F43124">
              <w:rPr>
                <w:lang w:eastAsia="en-GB"/>
              </w:rPr>
              <w:t>Class defining a base class for all point like objects (i.e. locations)</w:t>
            </w:r>
          </w:p>
        </w:tc>
      </w:tr>
      <w:tr w:rsidR="000377E9" w:rsidTr="00C755E4">
        <w:trPr>
          <w:cantSplit/>
        </w:trPr>
        <w:tc>
          <w:tcPr>
            <w:tcW w:w="2956" w:type="dxa"/>
          </w:tcPr>
          <w:p w:rsidR="000377E9" w:rsidRDefault="000377E9" w:rsidP="00724CE3">
            <w:pPr>
              <w:pStyle w:val="SectionBodyText"/>
              <w:spacing w:before="60" w:after="60"/>
              <w:rPr>
                <w:lang w:eastAsia="en-GB"/>
              </w:rPr>
            </w:pPr>
            <w:r>
              <w:rPr>
                <w:lang w:eastAsia="en-GB"/>
              </w:rPr>
              <w:t>Pixel.m</w:t>
            </w:r>
          </w:p>
        </w:tc>
        <w:tc>
          <w:tcPr>
            <w:tcW w:w="1179" w:type="dxa"/>
          </w:tcPr>
          <w:p w:rsidR="000377E9" w:rsidRDefault="000377E9" w:rsidP="00724CE3">
            <w:pPr>
              <w:pStyle w:val="SectionBodyText"/>
              <w:spacing w:before="60" w:after="60"/>
              <w:jc w:val="center"/>
              <w:rPr>
                <w:lang w:eastAsia="en-GB"/>
              </w:rPr>
            </w:pPr>
            <w:r>
              <w:rPr>
                <w:lang w:eastAsia="en-GB"/>
              </w:rPr>
              <w:t>2.0</w:t>
            </w:r>
          </w:p>
        </w:tc>
        <w:tc>
          <w:tcPr>
            <w:tcW w:w="5107" w:type="dxa"/>
          </w:tcPr>
          <w:p w:rsidR="000377E9" w:rsidRDefault="005543B0" w:rsidP="00724CE3">
            <w:pPr>
              <w:pStyle w:val="SectionBodyText"/>
              <w:spacing w:before="60" w:after="60"/>
              <w:rPr>
                <w:lang w:eastAsia="en-GB"/>
              </w:rPr>
            </w:pPr>
            <w:r>
              <w:rPr>
                <w:lang w:eastAsia="en-GB"/>
              </w:rPr>
              <w:t>C</w:t>
            </w:r>
            <w:r w:rsidR="000377E9">
              <w:rPr>
                <w:lang w:eastAsia="en-GB"/>
              </w:rPr>
              <w:t>lass to model Pixel objects which provide a representation of the coordinates, population, and clutter characteristics of a particular location. It also stores random variables used in the calculation correlated of shadow fading and building penetration loss values</w:t>
            </w:r>
          </w:p>
        </w:tc>
      </w:tr>
      <w:tr w:rsidR="005543B0" w:rsidTr="00C755E4">
        <w:trPr>
          <w:cantSplit/>
        </w:trPr>
        <w:tc>
          <w:tcPr>
            <w:tcW w:w="2956" w:type="dxa"/>
          </w:tcPr>
          <w:p w:rsidR="005543B0" w:rsidRDefault="005543B0" w:rsidP="00724CE3">
            <w:pPr>
              <w:pStyle w:val="SectionBodyText"/>
              <w:spacing w:before="60" w:after="60"/>
              <w:rPr>
                <w:lang w:eastAsia="en-GB"/>
              </w:rPr>
            </w:pPr>
            <w:r>
              <w:rPr>
                <w:lang w:eastAsia="en-GB"/>
              </w:rPr>
              <w:t>PixelMap.m</w:t>
            </w:r>
          </w:p>
        </w:tc>
        <w:tc>
          <w:tcPr>
            <w:tcW w:w="1179" w:type="dxa"/>
          </w:tcPr>
          <w:p w:rsidR="005543B0" w:rsidRDefault="005543B0" w:rsidP="00724CE3">
            <w:pPr>
              <w:pStyle w:val="SectionBodyText"/>
              <w:spacing w:before="60" w:after="60"/>
              <w:jc w:val="center"/>
              <w:rPr>
                <w:lang w:eastAsia="en-GB"/>
              </w:rPr>
            </w:pPr>
            <w:r>
              <w:rPr>
                <w:lang w:eastAsia="en-GB"/>
              </w:rPr>
              <w:t>2.0</w:t>
            </w:r>
          </w:p>
        </w:tc>
        <w:tc>
          <w:tcPr>
            <w:tcW w:w="5107" w:type="dxa"/>
          </w:tcPr>
          <w:p w:rsidR="005543B0" w:rsidRDefault="005543B0" w:rsidP="005543B0">
            <w:pPr>
              <w:pStyle w:val="SectionBodyText"/>
              <w:spacing w:before="60" w:after="60"/>
              <w:rPr>
                <w:lang w:eastAsia="en-GB"/>
              </w:rPr>
            </w:pPr>
            <w:r>
              <w:rPr>
                <w:lang w:eastAsia="en-GB"/>
              </w:rPr>
              <w:t>Class to model an array of pixel points covering the area defined from an existing clutter map and assigning vectors of shadow fading and building penetration values for each pixel for an bases station array of an assumed size (e.g. 20 base stations)</w:t>
            </w:r>
          </w:p>
        </w:tc>
      </w:tr>
    </w:tbl>
    <w:p w:rsidR="00A941AE" w:rsidRDefault="00A941AE"/>
    <w:p w:rsidR="00CC4A1C" w:rsidRDefault="00CC4A1C" w:rsidP="00CC4A1C">
      <w:pPr>
        <w:pStyle w:val="Caption"/>
      </w:pPr>
      <w:bookmarkStart w:id="3" w:name="_Ref315076176"/>
      <w:r>
        <w:lastRenderedPageBreak/>
        <w:t xml:space="preserve">Table </w:t>
      </w:r>
      <w:fldSimple w:instr=" SEQ Table \* ARABIC ">
        <w:r w:rsidR="00A02AA5">
          <w:rPr>
            <w:noProof/>
          </w:rPr>
          <w:t>2</w:t>
        </w:r>
      </w:fldSimple>
      <w:bookmarkEnd w:id="3"/>
      <w:r>
        <w:t>: Function files</w:t>
      </w:r>
    </w:p>
    <w:tbl>
      <w:tblPr>
        <w:tblStyle w:val="TableGrid"/>
        <w:tblW w:w="0" w:type="auto"/>
        <w:tblLook w:val="04A0"/>
      </w:tblPr>
      <w:tblGrid>
        <w:gridCol w:w="2956"/>
        <w:gridCol w:w="1179"/>
        <w:gridCol w:w="5107"/>
      </w:tblGrid>
      <w:tr w:rsidR="00A941AE" w:rsidTr="00C755E4">
        <w:trPr>
          <w:cantSplit/>
        </w:trPr>
        <w:tc>
          <w:tcPr>
            <w:tcW w:w="2956" w:type="dxa"/>
          </w:tcPr>
          <w:p w:rsidR="00A941AE" w:rsidRPr="00724CE3" w:rsidRDefault="00A941AE" w:rsidP="00A941AE">
            <w:pPr>
              <w:pStyle w:val="SectionBodyText"/>
              <w:spacing w:before="60" w:after="60"/>
              <w:rPr>
                <w:b/>
                <w:color w:val="C00000"/>
                <w:lang w:eastAsia="en-GB"/>
              </w:rPr>
            </w:pPr>
            <w:r>
              <w:rPr>
                <w:b/>
                <w:color w:val="C00000"/>
                <w:lang w:eastAsia="en-GB"/>
              </w:rPr>
              <w:t>Function f</w:t>
            </w:r>
            <w:r w:rsidRPr="00724CE3">
              <w:rPr>
                <w:b/>
                <w:color w:val="C00000"/>
                <w:lang w:eastAsia="en-GB"/>
              </w:rPr>
              <w:t>ile name</w:t>
            </w:r>
          </w:p>
        </w:tc>
        <w:tc>
          <w:tcPr>
            <w:tcW w:w="1179" w:type="dxa"/>
          </w:tcPr>
          <w:p w:rsidR="00A941AE" w:rsidRPr="00724CE3" w:rsidRDefault="00A941AE" w:rsidP="00203865">
            <w:pPr>
              <w:pStyle w:val="SectionBodyText"/>
              <w:spacing w:before="60" w:after="60"/>
              <w:jc w:val="center"/>
              <w:rPr>
                <w:b/>
                <w:color w:val="C00000"/>
                <w:lang w:eastAsia="en-GB"/>
              </w:rPr>
            </w:pPr>
            <w:r>
              <w:rPr>
                <w:b/>
                <w:color w:val="C00000"/>
                <w:lang w:eastAsia="en-GB"/>
              </w:rPr>
              <w:t>Version</w:t>
            </w:r>
          </w:p>
        </w:tc>
        <w:tc>
          <w:tcPr>
            <w:tcW w:w="5107" w:type="dxa"/>
          </w:tcPr>
          <w:p w:rsidR="00A941AE" w:rsidRPr="00724CE3" w:rsidRDefault="00A941AE" w:rsidP="00203865">
            <w:pPr>
              <w:pStyle w:val="SectionBodyText"/>
              <w:spacing w:before="60" w:after="60"/>
              <w:rPr>
                <w:b/>
                <w:color w:val="C00000"/>
                <w:lang w:eastAsia="en-GB"/>
              </w:rPr>
            </w:pPr>
            <w:r w:rsidRPr="00724CE3">
              <w:rPr>
                <w:b/>
                <w:color w:val="C00000"/>
                <w:lang w:eastAsia="en-GB"/>
              </w:rPr>
              <w:t>Description</w:t>
            </w:r>
          </w:p>
        </w:tc>
      </w:tr>
      <w:tr w:rsidR="00724CE3" w:rsidTr="00C755E4">
        <w:trPr>
          <w:cantSplit/>
        </w:trPr>
        <w:tc>
          <w:tcPr>
            <w:tcW w:w="2956" w:type="dxa"/>
          </w:tcPr>
          <w:p w:rsidR="00724CE3" w:rsidRDefault="00724CE3" w:rsidP="00724CE3">
            <w:pPr>
              <w:pStyle w:val="SectionBodyText"/>
              <w:spacing w:before="60" w:after="60"/>
              <w:rPr>
                <w:lang w:eastAsia="en-GB"/>
              </w:rPr>
            </w:pPr>
            <w:r>
              <w:rPr>
                <w:lang w:eastAsia="en-GB"/>
              </w:rPr>
              <w:t>BaseStationArray.m</w:t>
            </w:r>
          </w:p>
        </w:tc>
        <w:tc>
          <w:tcPr>
            <w:tcW w:w="1179" w:type="dxa"/>
          </w:tcPr>
          <w:p w:rsidR="00724CE3" w:rsidRDefault="00724CE3" w:rsidP="00724CE3">
            <w:pPr>
              <w:pStyle w:val="SectionBodyText"/>
              <w:spacing w:before="60" w:after="60"/>
              <w:jc w:val="center"/>
              <w:rPr>
                <w:lang w:eastAsia="en-GB"/>
              </w:rPr>
            </w:pPr>
            <w:r>
              <w:rPr>
                <w:lang w:eastAsia="en-GB"/>
              </w:rPr>
              <w:t>1.0</w:t>
            </w:r>
          </w:p>
        </w:tc>
        <w:tc>
          <w:tcPr>
            <w:tcW w:w="5107" w:type="dxa"/>
          </w:tcPr>
          <w:p w:rsidR="00724CE3" w:rsidRDefault="00724CE3" w:rsidP="00724CE3">
            <w:pPr>
              <w:pStyle w:val="SectionBodyText"/>
              <w:spacing w:before="60" w:after="60"/>
              <w:rPr>
                <w:lang w:eastAsia="en-GB"/>
              </w:rPr>
            </w:pPr>
            <w:r>
              <w:rPr>
                <w:lang w:eastAsia="en-GB"/>
              </w:rPr>
              <w:t>Function to set up an array of base stations (objects of the Station class)</w:t>
            </w:r>
          </w:p>
        </w:tc>
      </w:tr>
      <w:tr w:rsidR="00042498" w:rsidTr="00C755E4">
        <w:trPr>
          <w:cantSplit/>
        </w:trPr>
        <w:tc>
          <w:tcPr>
            <w:tcW w:w="2956" w:type="dxa"/>
          </w:tcPr>
          <w:p w:rsidR="00042498" w:rsidRDefault="00042498" w:rsidP="00724CE3">
            <w:pPr>
              <w:pStyle w:val="SectionBodyText"/>
              <w:spacing w:before="60" w:after="60"/>
              <w:rPr>
                <w:lang w:eastAsia="en-GB"/>
              </w:rPr>
            </w:pPr>
            <w:r>
              <w:rPr>
                <w:lang w:eastAsia="en-GB"/>
              </w:rPr>
              <w:t>DowntiltSet</w:t>
            </w:r>
            <w:r w:rsidR="0003764A">
              <w:rPr>
                <w:lang w:eastAsia="en-GB"/>
              </w:rPr>
              <w:t>.m</w:t>
            </w:r>
          </w:p>
        </w:tc>
        <w:tc>
          <w:tcPr>
            <w:tcW w:w="1179" w:type="dxa"/>
          </w:tcPr>
          <w:p w:rsidR="00042498" w:rsidRDefault="00042498" w:rsidP="00724CE3">
            <w:pPr>
              <w:pStyle w:val="SectionBodyText"/>
              <w:spacing w:before="60" w:after="60"/>
              <w:jc w:val="center"/>
              <w:rPr>
                <w:lang w:eastAsia="en-GB"/>
              </w:rPr>
            </w:pPr>
            <w:r>
              <w:rPr>
                <w:lang w:eastAsia="en-GB"/>
              </w:rPr>
              <w:t>1.0</w:t>
            </w:r>
          </w:p>
        </w:tc>
        <w:tc>
          <w:tcPr>
            <w:tcW w:w="5107" w:type="dxa"/>
          </w:tcPr>
          <w:p w:rsidR="00042498" w:rsidRDefault="00042498" w:rsidP="00042498">
            <w:pPr>
              <w:pStyle w:val="SectionBodyText"/>
              <w:spacing w:before="60" w:after="60"/>
              <w:rPr>
                <w:lang w:eastAsia="en-GB"/>
              </w:rPr>
            </w:pPr>
            <w:r>
              <w:rPr>
                <w:lang w:eastAsia="en-GB"/>
              </w:rPr>
              <w:t>Function to calculate the down-tilt of each base station antenna based on the distance to the nearest surrounding 6 sites the height of the site and the antennas vertical beam-width</w:t>
            </w:r>
          </w:p>
        </w:tc>
      </w:tr>
      <w:tr w:rsidR="00042498" w:rsidTr="00C755E4">
        <w:trPr>
          <w:cantSplit/>
        </w:trPr>
        <w:tc>
          <w:tcPr>
            <w:tcW w:w="2956" w:type="dxa"/>
          </w:tcPr>
          <w:p w:rsidR="00042498" w:rsidRDefault="00042498" w:rsidP="00724CE3">
            <w:pPr>
              <w:pStyle w:val="SectionBodyText"/>
              <w:spacing w:before="60" w:after="60"/>
              <w:rPr>
                <w:lang w:eastAsia="en-GB"/>
              </w:rPr>
            </w:pPr>
            <w:r>
              <w:rPr>
                <w:lang w:eastAsia="en-GB"/>
              </w:rPr>
              <w:t>ParDowntiltSet</w:t>
            </w:r>
            <w:r w:rsidR="0003764A">
              <w:rPr>
                <w:lang w:eastAsia="en-GB"/>
              </w:rPr>
              <w:t>.m</w:t>
            </w:r>
          </w:p>
        </w:tc>
        <w:tc>
          <w:tcPr>
            <w:tcW w:w="1179" w:type="dxa"/>
          </w:tcPr>
          <w:p w:rsidR="00042498" w:rsidRDefault="00042498" w:rsidP="00724CE3">
            <w:pPr>
              <w:pStyle w:val="SectionBodyText"/>
              <w:spacing w:before="60" w:after="60"/>
              <w:jc w:val="center"/>
              <w:rPr>
                <w:lang w:eastAsia="en-GB"/>
              </w:rPr>
            </w:pPr>
            <w:r>
              <w:rPr>
                <w:lang w:eastAsia="en-GB"/>
              </w:rPr>
              <w:t>1.0</w:t>
            </w:r>
          </w:p>
        </w:tc>
        <w:tc>
          <w:tcPr>
            <w:tcW w:w="5107" w:type="dxa"/>
          </w:tcPr>
          <w:p w:rsidR="00042498" w:rsidRDefault="00042498" w:rsidP="00042498">
            <w:pPr>
              <w:pStyle w:val="SectionBodyText"/>
              <w:spacing w:before="60" w:after="60"/>
              <w:rPr>
                <w:lang w:eastAsia="en-GB"/>
              </w:rPr>
            </w:pPr>
            <w:r>
              <w:rPr>
                <w:lang w:eastAsia="en-GB"/>
              </w:rPr>
              <w:t>Function to calculate the down-tilt of each base station antenna based on the distance to the nearest surrounding 6 sites the height of the site and the antennas vertical beam-width – Parallel version</w:t>
            </w:r>
          </w:p>
        </w:tc>
      </w:tr>
      <w:tr w:rsidR="00042498" w:rsidTr="00C755E4">
        <w:trPr>
          <w:cantSplit/>
        </w:trPr>
        <w:tc>
          <w:tcPr>
            <w:tcW w:w="2956" w:type="dxa"/>
          </w:tcPr>
          <w:p w:rsidR="00042498" w:rsidRDefault="0003764A" w:rsidP="00724CE3">
            <w:pPr>
              <w:pStyle w:val="SectionBodyText"/>
              <w:spacing w:before="60" w:after="60"/>
              <w:rPr>
                <w:lang w:eastAsia="en-GB"/>
              </w:rPr>
            </w:pPr>
            <w:r>
              <w:rPr>
                <w:lang w:eastAsia="en-GB"/>
              </w:rPr>
              <w:t>ThroughputUsers.m</w:t>
            </w:r>
          </w:p>
        </w:tc>
        <w:tc>
          <w:tcPr>
            <w:tcW w:w="1179" w:type="dxa"/>
          </w:tcPr>
          <w:p w:rsidR="00042498" w:rsidRDefault="0003764A" w:rsidP="00724CE3">
            <w:pPr>
              <w:pStyle w:val="SectionBodyText"/>
              <w:spacing w:before="60" w:after="60"/>
              <w:jc w:val="center"/>
              <w:rPr>
                <w:lang w:eastAsia="en-GB"/>
              </w:rPr>
            </w:pPr>
            <w:r>
              <w:rPr>
                <w:lang w:eastAsia="en-GB"/>
              </w:rPr>
              <w:t>2.0</w:t>
            </w:r>
          </w:p>
        </w:tc>
        <w:tc>
          <w:tcPr>
            <w:tcW w:w="5107" w:type="dxa"/>
          </w:tcPr>
          <w:p w:rsidR="00042498" w:rsidRDefault="0003764A" w:rsidP="00300DAE">
            <w:pPr>
              <w:pStyle w:val="SectionBodyText"/>
              <w:spacing w:before="60" w:after="60"/>
              <w:rPr>
                <w:lang w:eastAsia="en-GB"/>
              </w:rPr>
            </w:pPr>
            <w:r>
              <w:rPr>
                <w:lang w:eastAsia="en-GB"/>
              </w:rPr>
              <w:t xml:space="preserve">Function to calculate the single user throughput, number of users for a given guaranteed </w:t>
            </w:r>
            <w:r w:rsidR="00300DAE">
              <w:rPr>
                <w:lang w:eastAsia="en-GB"/>
              </w:rPr>
              <w:t>data</w:t>
            </w:r>
            <w:r>
              <w:rPr>
                <w:lang w:eastAsia="en-GB"/>
              </w:rPr>
              <w:t>-rate, number of resource blocks to serve a single user at the guaranteed data-rate, and the throughput per resource block</w:t>
            </w:r>
          </w:p>
        </w:tc>
      </w:tr>
      <w:tr w:rsidR="0003764A" w:rsidTr="00C755E4">
        <w:trPr>
          <w:cantSplit/>
        </w:trPr>
        <w:tc>
          <w:tcPr>
            <w:tcW w:w="2956" w:type="dxa"/>
          </w:tcPr>
          <w:p w:rsidR="0003764A" w:rsidRDefault="0003764A" w:rsidP="00724CE3">
            <w:pPr>
              <w:pStyle w:val="SectionBodyText"/>
              <w:spacing w:before="60" w:after="60"/>
              <w:rPr>
                <w:lang w:eastAsia="en-GB"/>
              </w:rPr>
            </w:pPr>
            <w:r>
              <w:rPr>
                <w:lang w:eastAsia="en-GB"/>
              </w:rPr>
              <w:t>DoubleCarrierThroughput.m</w:t>
            </w:r>
          </w:p>
        </w:tc>
        <w:tc>
          <w:tcPr>
            <w:tcW w:w="1179" w:type="dxa"/>
          </w:tcPr>
          <w:p w:rsidR="0003764A" w:rsidRDefault="0003764A" w:rsidP="00724CE3">
            <w:pPr>
              <w:pStyle w:val="SectionBodyText"/>
              <w:spacing w:before="60" w:after="60"/>
              <w:jc w:val="center"/>
              <w:rPr>
                <w:lang w:eastAsia="en-GB"/>
              </w:rPr>
            </w:pPr>
            <w:r>
              <w:rPr>
                <w:lang w:eastAsia="en-GB"/>
              </w:rPr>
              <w:t>1.0</w:t>
            </w:r>
          </w:p>
        </w:tc>
        <w:tc>
          <w:tcPr>
            <w:tcW w:w="5107" w:type="dxa"/>
          </w:tcPr>
          <w:p w:rsidR="0003764A" w:rsidRDefault="0003764A" w:rsidP="00300DAE">
            <w:pPr>
              <w:pStyle w:val="SectionBodyText"/>
              <w:spacing w:before="60" w:after="60"/>
              <w:rPr>
                <w:lang w:eastAsia="en-GB"/>
              </w:rPr>
            </w:pPr>
            <w:r>
              <w:rPr>
                <w:lang w:eastAsia="en-GB"/>
              </w:rPr>
              <w:t xml:space="preserve">Function to calculate the combined single user throughput, number of users for a given guaranteed data-rate, number of resource blocks to serve a single user at the guaranteed </w:t>
            </w:r>
            <w:r w:rsidR="00300DAE">
              <w:rPr>
                <w:lang w:eastAsia="en-GB"/>
              </w:rPr>
              <w:t>data-</w:t>
            </w:r>
            <w:r>
              <w:rPr>
                <w:lang w:eastAsia="en-GB"/>
              </w:rPr>
              <w:t>rate, and the throughput per resource block for a system where there are two LTE carriers in the same frequency band. The function assumes that the first carrier has a bandwidth of 20 MHz</w:t>
            </w:r>
          </w:p>
        </w:tc>
      </w:tr>
      <w:tr w:rsidR="0003764A" w:rsidTr="00C755E4">
        <w:trPr>
          <w:cantSplit/>
        </w:trPr>
        <w:tc>
          <w:tcPr>
            <w:tcW w:w="2956" w:type="dxa"/>
          </w:tcPr>
          <w:p w:rsidR="0003764A" w:rsidRDefault="00943C71" w:rsidP="00724CE3">
            <w:pPr>
              <w:pStyle w:val="SectionBodyText"/>
              <w:spacing w:before="60" w:after="60"/>
              <w:rPr>
                <w:lang w:eastAsia="en-GB"/>
              </w:rPr>
            </w:pPr>
            <w:r>
              <w:rPr>
                <w:lang w:eastAsia="en-GB"/>
              </w:rPr>
              <w:t>ExtendedHata.m</w:t>
            </w:r>
          </w:p>
        </w:tc>
        <w:tc>
          <w:tcPr>
            <w:tcW w:w="1179" w:type="dxa"/>
          </w:tcPr>
          <w:p w:rsidR="0003764A" w:rsidRDefault="00943C71" w:rsidP="00724CE3">
            <w:pPr>
              <w:pStyle w:val="SectionBodyText"/>
              <w:spacing w:before="60" w:after="60"/>
              <w:jc w:val="center"/>
              <w:rPr>
                <w:lang w:eastAsia="en-GB"/>
              </w:rPr>
            </w:pPr>
            <w:r>
              <w:rPr>
                <w:lang w:eastAsia="en-GB"/>
              </w:rPr>
              <w:t>2.0</w:t>
            </w:r>
          </w:p>
        </w:tc>
        <w:tc>
          <w:tcPr>
            <w:tcW w:w="5107" w:type="dxa"/>
          </w:tcPr>
          <w:p w:rsidR="0003764A" w:rsidRDefault="00300DAE" w:rsidP="00300DAE">
            <w:pPr>
              <w:pStyle w:val="SectionBodyText"/>
              <w:spacing w:before="60" w:after="60"/>
              <w:rPr>
                <w:lang w:eastAsia="en-GB"/>
              </w:rPr>
            </w:pPr>
            <w:r>
              <w:rPr>
                <w:lang w:eastAsia="en-GB"/>
              </w:rPr>
              <w:t>Function to c</w:t>
            </w:r>
            <w:r w:rsidR="00943C71" w:rsidRPr="00943C71">
              <w:rPr>
                <w:lang w:eastAsia="en-GB"/>
              </w:rPr>
              <w:t>alculates the pathloss between points based on the Extended Hata model</w:t>
            </w:r>
          </w:p>
        </w:tc>
      </w:tr>
      <w:tr w:rsidR="00300DAE" w:rsidTr="00C755E4">
        <w:trPr>
          <w:cantSplit/>
        </w:trPr>
        <w:tc>
          <w:tcPr>
            <w:tcW w:w="2956" w:type="dxa"/>
          </w:tcPr>
          <w:p w:rsidR="00300DAE" w:rsidRDefault="00300DAE" w:rsidP="00724CE3">
            <w:pPr>
              <w:pStyle w:val="SectionBodyText"/>
              <w:spacing w:before="60" w:after="60"/>
              <w:rPr>
                <w:lang w:eastAsia="en-GB"/>
              </w:rPr>
            </w:pPr>
            <w:r>
              <w:rPr>
                <w:lang w:eastAsia="en-GB"/>
              </w:rPr>
              <w:t>mod180.m</w:t>
            </w:r>
          </w:p>
        </w:tc>
        <w:tc>
          <w:tcPr>
            <w:tcW w:w="1179" w:type="dxa"/>
          </w:tcPr>
          <w:p w:rsidR="00300DAE" w:rsidRDefault="00300DAE" w:rsidP="00724CE3">
            <w:pPr>
              <w:pStyle w:val="SectionBodyText"/>
              <w:spacing w:before="60" w:after="60"/>
              <w:jc w:val="center"/>
              <w:rPr>
                <w:lang w:eastAsia="en-GB"/>
              </w:rPr>
            </w:pPr>
            <w:r>
              <w:rPr>
                <w:lang w:eastAsia="en-GB"/>
              </w:rPr>
              <w:t>1.0</w:t>
            </w:r>
          </w:p>
        </w:tc>
        <w:tc>
          <w:tcPr>
            <w:tcW w:w="5107" w:type="dxa"/>
          </w:tcPr>
          <w:p w:rsidR="00300DAE" w:rsidRPr="00943C71" w:rsidRDefault="00300DAE" w:rsidP="001F7325">
            <w:pPr>
              <w:pStyle w:val="SectionBodyText"/>
              <w:spacing w:before="60" w:after="60"/>
              <w:rPr>
                <w:lang w:eastAsia="en-GB"/>
              </w:rPr>
            </w:pPr>
            <w:r w:rsidRPr="00300DAE">
              <w:rPr>
                <w:lang w:eastAsia="en-GB"/>
              </w:rPr>
              <w:t>Function to return the modulus of the input value after d</w:t>
            </w:r>
            <w:r w:rsidR="001F7325">
              <w:rPr>
                <w:lang w:eastAsia="en-GB"/>
              </w:rPr>
              <w:t>i</w:t>
            </w:r>
            <w:r w:rsidRPr="00300DAE">
              <w:rPr>
                <w:lang w:eastAsia="en-GB"/>
              </w:rPr>
              <w:t>vision by 180</w:t>
            </w:r>
          </w:p>
        </w:tc>
      </w:tr>
      <w:tr w:rsidR="00A941AE" w:rsidTr="00C755E4">
        <w:trPr>
          <w:cantSplit/>
        </w:trPr>
        <w:tc>
          <w:tcPr>
            <w:tcW w:w="2956" w:type="dxa"/>
          </w:tcPr>
          <w:p w:rsidR="00A941AE" w:rsidRDefault="00A941AE" w:rsidP="00724CE3">
            <w:pPr>
              <w:pStyle w:val="SectionBodyText"/>
              <w:spacing w:before="60" w:after="60"/>
              <w:rPr>
                <w:lang w:eastAsia="en-GB"/>
              </w:rPr>
            </w:pPr>
            <w:r>
              <w:rPr>
                <w:lang w:eastAsia="en-GB"/>
              </w:rPr>
              <w:t>MeanBPL</w:t>
            </w:r>
          </w:p>
        </w:tc>
        <w:tc>
          <w:tcPr>
            <w:tcW w:w="1179" w:type="dxa"/>
          </w:tcPr>
          <w:p w:rsidR="00A941AE" w:rsidRDefault="00A941AE" w:rsidP="00724CE3">
            <w:pPr>
              <w:pStyle w:val="SectionBodyText"/>
              <w:spacing w:before="60" w:after="60"/>
              <w:jc w:val="center"/>
              <w:rPr>
                <w:lang w:eastAsia="en-GB"/>
              </w:rPr>
            </w:pPr>
            <w:r>
              <w:rPr>
                <w:lang w:eastAsia="en-GB"/>
              </w:rPr>
              <w:t>2.0</w:t>
            </w:r>
          </w:p>
        </w:tc>
        <w:tc>
          <w:tcPr>
            <w:tcW w:w="5107" w:type="dxa"/>
          </w:tcPr>
          <w:p w:rsidR="00A941AE" w:rsidRPr="00300DAE" w:rsidRDefault="00A941AE" w:rsidP="00A941AE">
            <w:pPr>
              <w:pStyle w:val="SectionBodyText"/>
              <w:spacing w:before="60" w:after="60"/>
              <w:rPr>
                <w:lang w:eastAsia="en-GB"/>
              </w:rPr>
            </w:pPr>
            <w:r>
              <w:rPr>
                <w:lang w:eastAsia="en-GB"/>
              </w:rPr>
              <w:t>Function to return the mean building penetration loss dependant on the frequency and depth within the building to consider. Also returns the standard deviation associated with the building penetration loss</w:t>
            </w:r>
          </w:p>
        </w:tc>
      </w:tr>
      <w:tr w:rsidR="00E9413A" w:rsidTr="00C755E4">
        <w:trPr>
          <w:cantSplit/>
        </w:trPr>
        <w:tc>
          <w:tcPr>
            <w:tcW w:w="2956" w:type="dxa"/>
          </w:tcPr>
          <w:p w:rsidR="00E9413A" w:rsidRDefault="00CA1972" w:rsidP="00593339">
            <w:pPr>
              <w:pStyle w:val="SectionBodyText"/>
              <w:spacing w:before="60" w:after="60"/>
              <w:rPr>
                <w:lang w:eastAsia="en-GB"/>
              </w:rPr>
            </w:pPr>
            <w:r>
              <w:rPr>
                <w:lang w:eastAsia="en-GB"/>
              </w:rPr>
              <w:t>Capacity.m</w:t>
            </w:r>
          </w:p>
        </w:tc>
        <w:tc>
          <w:tcPr>
            <w:tcW w:w="1179" w:type="dxa"/>
          </w:tcPr>
          <w:p w:rsidR="00E9413A" w:rsidRDefault="00593339" w:rsidP="00724CE3">
            <w:pPr>
              <w:pStyle w:val="SectionBodyText"/>
              <w:spacing w:before="60" w:after="60"/>
              <w:jc w:val="center"/>
              <w:rPr>
                <w:lang w:eastAsia="en-GB"/>
              </w:rPr>
            </w:pPr>
            <w:r>
              <w:rPr>
                <w:lang w:eastAsia="en-GB"/>
              </w:rPr>
              <w:t>1.0</w:t>
            </w:r>
          </w:p>
        </w:tc>
        <w:tc>
          <w:tcPr>
            <w:tcW w:w="5107" w:type="dxa"/>
          </w:tcPr>
          <w:p w:rsidR="00E9413A" w:rsidRDefault="00CA1972" w:rsidP="00593339">
            <w:pPr>
              <w:pStyle w:val="SectionBodyText"/>
              <w:spacing w:before="60" w:after="60"/>
              <w:rPr>
                <w:lang w:eastAsia="en-GB"/>
              </w:rPr>
            </w:pPr>
            <w:r>
              <w:rPr>
                <w:lang w:eastAsia="en-GB"/>
              </w:rPr>
              <w:t>Function to calculate the proportion of users that can be simultaneously supported at the guaranteed data-rate. Also calculates the maximum loading under which the network is able to support the guaranteed data-rate. If the length of input arguments 'frequencies' and 'bandwidths' are both 1 it performs the analysis assuming a single-frequency network</w:t>
            </w:r>
            <w:r w:rsidR="00593339">
              <w:rPr>
                <w:lang w:eastAsia="en-GB"/>
              </w:rPr>
              <w:t xml:space="preserve"> otherwise it assumes</w:t>
            </w:r>
            <w:r>
              <w:rPr>
                <w:lang w:eastAsia="en-GB"/>
              </w:rPr>
              <w:t xml:space="preserve"> multi-frequency network (i.e. a network operating with carriers in two different frequency bands or a network operating in a single frequency band but with multiple carriers)</w:t>
            </w:r>
          </w:p>
        </w:tc>
      </w:tr>
      <w:tr w:rsidR="00593339" w:rsidTr="00C755E4">
        <w:trPr>
          <w:cantSplit/>
        </w:trPr>
        <w:tc>
          <w:tcPr>
            <w:tcW w:w="2956" w:type="dxa"/>
          </w:tcPr>
          <w:p w:rsidR="00593339" w:rsidRDefault="00593339" w:rsidP="00593339">
            <w:pPr>
              <w:pStyle w:val="SectionBodyText"/>
              <w:spacing w:before="60" w:after="60"/>
              <w:rPr>
                <w:lang w:eastAsia="en-GB"/>
              </w:rPr>
            </w:pPr>
            <w:r>
              <w:rPr>
                <w:lang w:eastAsia="en-GB"/>
              </w:rPr>
              <w:lastRenderedPageBreak/>
              <w:t>ParCapacity.m</w:t>
            </w:r>
          </w:p>
        </w:tc>
        <w:tc>
          <w:tcPr>
            <w:tcW w:w="1179" w:type="dxa"/>
          </w:tcPr>
          <w:p w:rsidR="00593339" w:rsidRDefault="00593339" w:rsidP="00724CE3">
            <w:pPr>
              <w:pStyle w:val="SectionBodyText"/>
              <w:spacing w:before="60" w:after="60"/>
              <w:jc w:val="center"/>
              <w:rPr>
                <w:lang w:eastAsia="en-GB"/>
              </w:rPr>
            </w:pPr>
            <w:r>
              <w:rPr>
                <w:lang w:eastAsia="en-GB"/>
              </w:rPr>
              <w:t>1.0</w:t>
            </w:r>
          </w:p>
        </w:tc>
        <w:tc>
          <w:tcPr>
            <w:tcW w:w="5107" w:type="dxa"/>
          </w:tcPr>
          <w:p w:rsidR="00593339" w:rsidRDefault="00593339" w:rsidP="00593339">
            <w:pPr>
              <w:pStyle w:val="SectionBodyText"/>
              <w:spacing w:before="60" w:after="60"/>
              <w:rPr>
                <w:lang w:eastAsia="en-GB"/>
              </w:rPr>
            </w:pPr>
            <w:r>
              <w:rPr>
                <w:lang w:eastAsia="en-GB"/>
              </w:rPr>
              <w:t>Function to calculate the proportion of users that can be simultaneously supported at the guaranteed data-rate. Also calculates the maximum loading under which the network is able to support the guaranteed data-rate. If the length of input arguments 'frequencies' and 'bandwidths' are both 1 it performs the analysis assuming a single-frequency network otherwise it assumes multi-frequency network (i.e. a network operating with carriers in two different frequency bands or a network operating in a single frequency band but with multiple carriers)</w:t>
            </w:r>
            <w:r w:rsidR="006F5D24">
              <w:rPr>
                <w:lang w:eastAsia="en-GB"/>
              </w:rPr>
              <w:t xml:space="preserve"> – Parallel version</w:t>
            </w:r>
          </w:p>
        </w:tc>
      </w:tr>
      <w:tr w:rsidR="00145503" w:rsidTr="00C755E4">
        <w:trPr>
          <w:cantSplit/>
        </w:trPr>
        <w:tc>
          <w:tcPr>
            <w:tcW w:w="2956" w:type="dxa"/>
          </w:tcPr>
          <w:p w:rsidR="00145503" w:rsidRDefault="00E34A28" w:rsidP="00593339">
            <w:pPr>
              <w:pStyle w:val="SectionBodyText"/>
              <w:spacing w:before="60" w:after="60"/>
              <w:rPr>
                <w:lang w:eastAsia="en-GB"/>
              </w:rPr>
            </w:pPr>
            <w:r>
              <w:rPr>
                <w:lang w:eastAsia="en-GB"/>
              </w:rPr>
              <w:t>Simulation.m</w:t>
            </w:r>
          </w:p>
        </w:tc>
        <w:tc>
          <w:tcPr>
            <w:tcW w:w="1179" w:type="dxa"/>
          </w:tcPr>
          <w:p w:rsidR="00145503" w:rsidRDefault="00E34A28" w:rsidP="00724CE3">
            <w:pPr>
              <w:pStyle w:val="SectionBodyText"/>
              <w:spacing w:before="60" w:after="60"/>
              <w:jc w:val="center"/>
              <w:rPr>
                <w:lang w:eastAsia="en-GB"/>
              </w:rPr>
            </w:pPr>
            <w:r>
              <w:rPr>
                <w:lang w:eastAsia="en-GB"/>
              </w:rPr>
              <w:t>2.0</w:t>
            </w:r>
          </w:p>
        </w:tc>
        <w:tc>
          <w:tcPr>
            <w:tcW w:w="5107" w:type="dxa"/>
          </w:tcPr>
          <w:p w:rsidR="00145503" w:rsidRDefault="00E34A28" w:rsidP="00E34A28">
            <w:pPr>
              <w:pStyle w:val="SectionBodyText"/>
              <w:spacing w:before="60" w:after="60"/>
              <w:rPr>
                <w:lang w:eastAsia="en-GB"/>
              </w:rPr>
            </w:pPr>
            <w:r>
              <w:rPr>
                <w:lang w:eastAsia="en-GB"/>
              </w:rPr>
              <w:t>Function to p</w:t>
            </w:r>
            <w:r w:rsidR="00A0668E">
              <w:rPr>
                <w:lang w:eastAsia="en-GB"/>
              </w:rPr>
              <w:t>erform a (Monte Carlo) simulation of LTE downlink performance. It takes an array of base stations (objects of the Station class) and calculates the downlink SINR (using the SINR method of the Station class) and single user throughput at test points randomly selected from an array of population centroids (each centroid having a geographic location and associated population)</w:t>
            </w:r>
          </w:p>
        </w:tc>
      </w:tr>
      <w:tr w:rsidR="00E34A28" w:rsidTr="00C755E4">
        <w:trPr>
          <w:cantSplit/>
        </w:trPr>
        <w:tc>
          <w:tcPr>
            <w:tcW w:w="2956" w:type="dxa"/>
          </w:tcPr>
          <w:p w:rsidR="00E34A28" w:rsidRDefault="00E34A28" w:rsidP="00593339">
            <w:pPr>
              <w:pStyle w:val="SectionBodyText"/>
              <w:spacing w:before="60" w:after="60"/>
              <w:rPr>
                <w:lang w:eastAsia="en-GB"/>
              </w:rPr>
            </w:pPr>
            <w:r>
              <w:rPr>
                <w:lang w:eastAsia="en-GB"/>
              </w:rPr>
              <w:t>ParSimulation.m</w:t>
            </w:r>
          </w:p>
        </w:tc>
        <w:tc>
          <w:tcPr>
            <w:tcW w:w="1179" w:type="dxa"/>
          </w:tcPr>
          <w:p w:rsidR="00E34A28" w:rsidRDefault="00E34A28" w:rsidP="00724CE3">
            <w:pPr>
              <w:pStyle w:val="SectionBodyText"/>
              <w:spacing w:before="60" w:after="60"/>
              <w:jc w:val="center"/>
              <w:rPr>
                <w:lang w:eastAsia="en-GB"/>
              </w:rPr>
            </w:pPr>
            <w:r>
              <w:rPr>
                <w:lang w:eastAsia="en-GB"/>
              </w:rPr>
              <w:t>2.0</w:t>
            </w:r>
          </w:p>
        </w:tc>
        <w:tc>
          <w:tcPr>
            <w:tcW w:w="5107" w:type="dxa"/>
          </w:tcPr>
          <w:p w:rsidR="00E34A28" w:rsidRDefault="00E34A28" w:rsidP="00E34A28">
            <w:pPr>
              <w:pStyle w:val="SectionBodyText"/>
              <w:spacing w:before="60" w:after="60"/>
              <w:rPr>
                <w:lang w:eastAsia="en-GB"/>
              </w:rPr>
            </w:pPr>
            <w:r>
              <w:rPr>
                <w:lang w:eastAsia="en-GB"/>
              </w:rPr>
              <w:t>Function to perform a (Monte Carlo) simulation of LTE downlink performance. It takes an array of base stations (objects of the Station class) and calculates the downlink SINR (using the SINR method of the Station class) and single user throughput at test points randomly selected from an array of population centroids (each centroid having a geographic location and associated population) – Parallel version</w:t>
            </w:r>
          </w:p>
        </w:tc>
      </w:tr>
      <w:tr w:rsidR="00E34A28" w:rsidTr="00C755E4">
        <w:trPr>
          <w:cantSplit/>
        </w:trPr>
        <w:tc>
          <w:tcPr>
            <w:tcW w:w="2956" w:type="dxa"/>
          </w:tcPr>
          <w:p w:rsidR="00E34A28" w:rsidRDefault="009B37A5" w:rsidP="00593339">
            <w:pPr>
              <w:pStyle w:val="SectionBodyText"/>
              <w:spacing w:before="60" w:after="60"/>
              <w:rPr>
                <w:lang w:eastAsia="en-GB"/>
              </w:rPr>
            </w:pPr>
            <w:r>
              <w:rPr>
                <w:lang w:eastAsia="en-GB"/>
              </w:rPr>
              <w:t>SINR2TP</w:t>
            </w:r>
            <w:r w:rsidR="00A63E03">
              <w:rPr>
                <w:lang w:eastAsia="en-GB"/>
              </w:rPr>
              <w:t>.m</w:t>
            </w:r>
          </w:p>
        </w:tc>
        <w:tc>
          <w:tcPr>
            <w:tcW w:w="1179" w:type="dxa"/>
          </w:tcPr>
          <w:p w:rsidR="00E34A28" w:rsidRDefault="009B37A5" w:rsidP="00724CE3">
            <w:pPr>
              <w:pStyle w:val="SectionBodyText"/>
              <w:spacing w:before="60" w:after="60"/>
              <w:jc w:val="center"/>
              <w:rPr>
                <w:lang w:eastAsia="en-GB"/>
              </w:rPr>
            </w:pPr>
            <w:r>
              <w:rPr>
                <w:lang w:eastAsia="en-GB"/>
              </w:rPr>
              <w:t>1.0</w:t>
            </w:r>
          </w:p>
        </w:tc>
        <w:tc>
          <w:tcPr>
            <w:tcW w:w="5107" w:type="dxa"/>
          </w:tcPr>
          <w:p w:rsidR="00E34A28" w:rsidRDefault="009B37A5" w:rsidP="001F7325">
            <w:pPr>
              <w:pStyle w:val="SectionBodyText"/>
              <w:spacing w:before="60" w:after="60"/>
              <w:rPr>
                <w:lang w:eastAsia="en-GB"/>
              </w:rPr>
            </w:pPr>
            <w:r>
              <w:rPr>
                <w:lang w:eastAsia="en-GB"/>
              </w:rPr>
              <w:t xml:space="preserve">Function to calculate the </w:t>
            </w:r>
            <w:r w:rsidR="001F7325">
              <w:rPr>
                <w:lang w:eastAsia="en-GB"/>
              </w:rPr>
              <w:t>throughput</w:t>
            </w:r>
            <w:r>
              <w:rPr>
                <w:lang w:eastAsia="en-GB"/>
              </w:rPr>
              <w:t xml:space="preserve"> </w:t>
            </w:r>
            <w:r w:rsidR="001F7325">
              <w:rPr>
                <w:lang w:eastAsia="en-GB"/>
              </w:rPr>
              <w:t>distributions</w:t>
            </w:r>
            <w:r>
              <w:rPr>
                <w:lang w:eastAsia="en-GB"/>
              </w:rPr>
              <w:t xml:space="preserve"> from corresponding SINR distributions stored in as an array. Uses the ThroughputUsers function. For each point in the distribution also stores the number of delivery addresses and the corresponding clutter value. The throughput distribution is sorted low to high</w:t>
            </w:r>
          </w:p>
        </w:tc>
      </w:tr>
      <w:tr w:rsidR="001F7325" w:rsidTr="00C755E4">
        <w:trPr>
          <w:cantSplit/>
        </w:trPr>
        <w:tc>
          <w:tcPr>
            <w:tcW w:w="2956" w:type="dxa"/>
          </w:tcPr>
          <w:p w:rsidR="001F7325" w:rsidRDefault="001F7325" w:rsidP="0017430D">
            <w:pPr>
              <w:pStyle w:val="SectionBodyText"/>
              <w:spacing w:before="60" w:after="60"/>
              <w:rPr>
                <w:lang w:eastAsia="en-GB"/>
              </w:rPr>
            </w:pPr>
            <w:r>
              <w:rPr>
                <w:lang w:eastAsia="en-GB"/>
              </w:rPr>
              <w:t>SINR2TP1</w:t>
            </w:r>
            <w:r w:rsidR="00A63E03">
              <w:rPr>
                <w:lang w:eastAsia="en-GB"/>
              </w:rPr>
              <w:t>.m</w:t>
            </w:r>
          </w:p>
        </w:tc>
        <w:tc>
          <w:tcPr>
            <w:tcW w:w="1179" w:type="dxa"/>
          </w:tcPr>
          <w:p w:rsidR="001F7325" w:rsidRDefault="001F7325" w:rsidP="0017430D">
            <w:pPr>
              <w:pStyle w:val="SectionBodyText"/>
              <w:spacing w:before="60" w:after="60"/>
              <w:jc w:val="center"/>
              <w:rPr>
                <w:lang w:eastAsia="en-GB"/>
              </w:rPr>
            </w:pPr>
            <w:r>
              <w:rPr>
                <w:lang w:eastAsia="en-GB"/>
              </w:rPr>
              <w:t>1.0</w:t>
            </w:r>
          </w:p>
        </w:tc>
        <w:tc>
          <w:tcPr>
            <w:tcW w:w="5107" w:type="dxa"/>
          </w:tcPr>
          <w:p w:rsidR="001F7325" w:rsidRDefault="001F7325" w:rsidP="001F7325">
            <w:pPr>
              <w:pStyle w:val="SectionBodyText"/>
              <w:spacing w:before="60" w:after="60"/>
              <w:rPr>
                <w:lang w:eastAsia="en-GB"/>
              </w:rPr>
            </w:pPr>
            <w:r>
              <w:rPr>
                <w:lang w:eastAsia="en-GB"/>
              </w:rPr>
              <w:t>Function to calculate the throughput distributions from corresponding SINR distributions stored in as an array. Uses the ThroughputUsers function. For each point in the distribution also stores the number of delivery addresses and the corresponding clutter value. The throughput distribution is unsorted</w:t>
            </w:r>
          </w:p>
        </w:tc>
      </w:tr>
      <w:tr w:rsidR="00C6433E" w:rsidTr="00C755E4">
        <w:trPr>
          <w:cantSplit/>
        </w:trPr>
        <w:tc>
          <w:tcPr>
            <w:tcW w:w="2956" w:type="dxa"/>
          </w:tcPr>
          <w:p w:rsidR="00C6433E" w:rsidRDefault="00C6433E" w:rsidP="0017430D">
            <w:pPr>
              <w:pStyle w:val="SectionBodyText"/>
              <w:spacing w:before="60" w:after="60"/>
              <w:rPr>
                <w:lang w:eastAsia="en-GB"/>
              </w:rPr>
            </w:pPr>
            <w:r>
              <w:rPr>
                <w:lang w:eastAsia="en-GB"/>
              </w:rPr>
              <w:t>DowntiltOptimisation</w:t>
            </w:r>
            <w:r w:rsidR="00A63E03">
              <w:rPr>
                <w:lang w:eastAsia="en-GB"/>
              </w:rPr>
              <w:t>.m</w:t>
            </w:r>
          </w:p>
        </w:tc>
        <w:tc>
          <w:tcPr>
            <w:tcW w:w="1179" w:type="dxa"/>
          </w:tcPr>
          <w:p w:rsidR="00C6433E" w:rsidRDefault="00C6433E" w:rsidP="0017430D">
            <w:pPr>
              <w:pStyle w:val="SectionBodyText"/>
              <w:spacing w:before="60" w:after="60"/>
              <w:jc w:val="center"/>
              <w:rPr>
                <w:lang w:eastAsia="en-GB"/>
              </w:rPr>
            </w:pPr>
            <w:r>
              <w:rPr>
                <w:lang w:eastAsia="en-GB"/>
              </w:rPr>
              <w:t>1.0</w:t>
            </w:r>
          </w:p>
        </w:tc>
        <w:tc>
          <w:tcPr>
            <w:tcW w:w="5107" w:type="dxa"/>
          </w:tcPr>
          <w:p w:rsidR="00C6433E" w:rsidRDefault="00C6433E" w:rsidP="00C6433E">
            <w:pPr>
              <w:pStyle w:val="SectionBodyText"/>
              <w:spacing w:before="60" w:after="60"/>
              <w:rPr>
                <w:lang w:eastAsia="en-GB"/>
              </w:rPr>
            </w:pPr>
            <w:r>
              <w:rPr>
                <w:lang w:eastAsia="en-GB"/>
              </w:rPr>
              <w:t>Function to calculate the optimum value of ISDfact to optimise base station antenna downtilt. Calls the Simulation or ParSimulation function as appropriate</w:t>
            </w:r>
          </w:p>
        </w:tc>
      </w:tr>
    </w:tbl>
    <w:p w:rsidR="00CC4A1C" w:rsidRDefault="00CC4A1C"/>
    <w:p w:rsidR="00954DD3" w:rsidRDefault="00954DD3" w:rsidP="00954DD3">
      <w:pPr>
        <w:pStyle w:val="Caption"/>
      </w:pPr>
      <w:bookmarkStart w:id="4" w:name="_Ref315076180"/>
      <w:r>
        <w:lastRenderedPageBreak/>
        <w:t xml:space="preserve">Table </w:t>
      </w:r>
      <w:fldSimple w:instr=" SEQ Table \* ARABIC ">
        <w:r w:rsidR="00A02AA5">
          <w:rPr>
            <w:noProof/>
          </w:rPr>
          <w:t>3</w:t>
        </w:r>
      </w:fldSimple>
      <w:bookmarkEnd w:id="4"/>
      <w:r>
        <w:t>: Script files</w:t>
      </w:r>
    </w:p>
    <w:tbl>
      <w:tblPr>
        <w:tblStyle w:val="TableGrid"/>
        <w:tblW w:w="0" w:type="auto"/>
        <w:tblLook w:val="04A0"/>
      </w:tblPr>
      <w:tblGrid>
        <w:gridCol w:w="3652"/>
        <w:gridCol w:w="1071"/>
        <w:gridCol w:w="4519"/>
      </w:tblGrid>
      <w:tr w:rsidR="00CC4A1C" w:rsidTr="00C755E4">
        <w:trPr>
          <w:cantSplit/>
        </w:trPr>
        <w:tc>
          <w:tcPr>
            <w:tcW w:w="3652" w:type="dxa"/>
          </w:tcPr>
          <w:p w:rsidR="00CC4A1C" w:rsidRDefault="00954DD3" w:rsidP="0017430D">
            <w:pPr>
              <w:pStyle w:val="SectionBodyText"/>
              <w:spacing w:before="60" w:after="60"/>
              <w:rPr>
                <w:lang w:eastAsia="en-GB"/>
              </w:rPr>
            </w:pPr>
            <w:r>
              <w:rPr>
                <w:lang w:eastAsia="en-GB"/>
              </w:rPr>
              <w:t>upSample</w:t>
            </w:r>
            <w:r w:rsidR="004D6293">
              <w:rPr>
                <w:lang w:eastAsia="en-GB"/>
              </w:rPr>
              <w:t>Sites</w:t>
            </w:r>
            <w:r w:rsidR="00A63E03">
              <w:rPr>
                <w:lang w:eastAsia="en-GB"/>
              </w:rPr>
              <w:t>.m</w:t>
            </w:r>
          </w:p>
        </w:tc>
        <w:tc>
          <w:tcPr>
            <w:tcW w:w="1071" w:type="dxa"/>
          </w:tcPr>
          <w:p w:rsidR="00CC4A1C" w:rsidRDefault="00954DD3" w:rsidP="0017430D">
            <w:pPr>
              <w:pStyle w:val="SectionBodyText"/>
              <w:spacing w:before="60" w:after="60"/>
              <w:jc w:val="center"/>
              <w:rPr>
                <w:lang w:eastAsia="en-GB"/>
              </w:rPr>
            </w:pPr>
            <w:r>
              <w:rPr>
                <w:lang w:eastAsia="en-GB"/>
              </w:rPr>
              <w:t>1.0</w:t>
            </w:r>
          </w:p>
        </w:tc>
        <w:tc>
          <w:tcPr>
            <w:tcW w:w="4519" w:type="dxa"/>
          </w:tcPr>
          <w:p w:rsidR="00CC4A1C" w:rsidRDefault="00954DD3" w:rsidP="00954DD3">
            <w:pPr>
              <w:pStyle w:val="SectionBodyText"/>
              <w:spacing w:before="60" w:after="60"/>
              <w:rPr>
                <w:lang w:eastAsia="en-GB"/>
              </w:rPr>
            </w:pPr>
            <w:r>
              <w:rPr>
                <w:lang w:eastAsia="en-GB"/>
              </w:rPr>
              <w:t>Script to generate an equivalent national network size of [20000] sites within the test area. It takes as its input the co-ordinates and heights of the base stations from a</w:t>
            </w:r>
            <w:r w:rsidR="004D6293">
              <w:rPr>
                <w:lang w:eastAsia="en-GB"/>
              </w:rPr>
              <w:t xml:space="preserve"> smaller</w:t>
            </w:r>
            <w:r>
              <w:rPr>
                <w:lang w:eastAsia="en-GB"/>
              </w:rPr>
              <w:t xml:space="preserve"> seed network within the test area and then places a new site at the geometric centroid of triangles containing the highest number of delivery points, i.e. the new sites are first placed in what approximates the highest population areas.</w:t>
            </w:r>
          </w:p>
        </w:tc>
      </w:tr>
      <w:tr w:rsidR="00417BAA" w:rsidTr="00C755E4">
        <w:trPr>
          <w:cantSplit/>
        </w:trPr>
        <w:tc>
          <w:tcPr>
            <w:tcW w:w="3652" w:type="dxa"/>
          </w:tcPr>
          <w:p w:rsidR="00417BAA" w:rsidRDefault="00417BAA" w:rsidP="0017430D">
            <w:pPr>
              <w:pStyle w:val="SectionBodyText"/>
              <w:spacing w:before="60" w:after="60"/>
              <w:rPr>
                <w:lang w:eastAsia="en-GB"/>
              </w:rPr>
            </w:pPr>
            <w:r>
              <w:rPr>
                <w:lang w:eastAsia="en-GB"/>
              </w:rPr>
              <w:t>downSample</w:t>
            </w:r>
            <w:r w:rsidR="004D6293">
              <w:rPr>
                <w:lang w:eastAsia="en-GB"/>
              </w:rPr>
              <w:t>Sites</w:t>
            </w:r>
            <w:r w:rsidR="00A63E03">
              <w:rPr>
                <w:lang w:eastAsia="en-GB"/>
              </w:rPr>
              <w:t>.m</w:t>
            </w:r>
          </w:p>
        </w:tc>
        <w:tc>
          <w:tcPr>
            <w:tcW w:w="1071" w:type="dxa"/>
          </w:tcPr>
          <w:p w:rsidR="00417BAA" w:rsidRDefault="00417BAA" w:rsidP="0017430D">
            <w:pPr>
              <w:pStyle w:val="SectionBodyText"/>
              <w:spacing w:before="60" w:after="60"/>
              <w:jc w:val="center"/>
              <w:rPr>
                <w:lang w:eastAsia="en-GB"/>
              </w:rPr>
            </w:pPr>
            <w:r>
              <w:rPr>
                <w:lang w:eastAsia="en-GB"/>
              </w:rPr>
              <w:t>1.0</w:t>
            </w:r>
          </w:p>
        </w:tc>
        <w:tc>
          <w:tcPr>
            <w:tcW w:w="4519" w:type="dxa"/>
          </w:tcPr>
          <w:p w:rsidR="00417BAA" w:rsidRDefault="00417BAA" w:rsidP="00417BAA">
            <w:pPr>
              <w:pStyle w:val="SectionBodyText"/>
              <w:spacing w:before="60" w:after="60"/>
              <w:rPr>
                <w:lang w:eastAsia="en-GB"/>
              </w:rPr>
            </w:pPr>
            <w:r>
              <w:rPr>
                <w:lang w:eastAsia="en-GB"/>
              </w:rPr>
              <w:t>Script to generate an equivalent national network size of [target] sites within the test area. It takes as its input the co-ordinates and heights of the base stations from a larger seed network within the test area and then randomly samples these sites to generate a network with the required site count</w:t>
            </w:r>
          </w:p>
        </w:tc>
      </w:tr>
      <w:tr w:rsidR="00A63E03" w:rsidTr="00C755E4">
        <w:trPr>
          <w:cantSplit/>
        </w:trPr>
        <w:tc>
          <w:tcPr>
            <w:tcW w:w="3652" w:type="dxa"/>
          </w:tcPr>
          <w:p w:rsidR="00A63E03" w:rsidRDefault="00A63E03" w:rsidP="0017430D">
            <w:pPr>
              <w:pStyle w:val="SectionBodyText"/>
              <w:spacing w:before="60" w:after="60"/>
              <w:rPr>
                <w:lang w:eastAsia="en-GB"/>
              </w:rPr>
            </w:pPr>
            <w:r>
              <w:rPr>
                <w:lang w:eastAsia="en-GB"/>
              </w:rPr>
              <w:t>runLTEmodel.m</w:t>
            </w:r>
          </w:p>
        </w:tc>
        <w:tc>
          <w:tcPr>
            <w:tcW w:w="1071" w:type="dxa"/>
          </w:tcPr>
          <w:p w:rsidR="00A63E03" w:rsidRDefault="00A63E03" w:rsidP="0017430D">
            <w:pPr>
              <w:pStyle w:val="SectionBodyText"/>
              <w:spacing w:before="60" w:after="60"/>
              <w:jc w:val="center"/>
              <w:rPr>
                <w:lang w:eastAsia="en-GB"/>
              </w:rPr>
            </w:pPr>
            <w:r>
              <w:rPr>
                <w:lang w:eastAsia="en-GB"/>
              </w:rPr>
              <w:t>1.0</w:t>
            </w:r>
          </w:p>
        </w:tc>
        <w:tc>
          <w:tcPr>
            <w:tcW w:w="4519" w:type="dxa"/>
          </w:tcPr>
          <w:p w:rsidR="00A63E03" w:rsidRDefault="00A63E03" w:rsidP="00417BAA">
            <w:pPr>
              <w:pStyle w:val="SectionBodyText"/>
              <w:spacing w:before="60" w:after="60"/>
              <w:rPr>
                <w:lang w:eastAsia="en-GB"/>
              </w:rPr>
            </w:pPr>
            <w:r w:rsidRPr="00A63E03">
              <w:rPr>
                <w:lang w:eastAsia="en-GB"/>
              </w:rPr>
              <w:t>Main script to call code to optimise downtilts and generate SINR distributions</w:t>
            </w:r>
          </w:p>
        </w:tc>
      </w:tr>
      <w:tr w:rsidR="003B341C" w:rsidTr="00C755E4">
        <w:trPr>
          <w:cantSplit/>
        </w:trPr>
        <w:tc>
          <w:tcPr>
            <w:tcW w:w="3652" w:type="dxa"/>
          </w:tcPr>
          <w:p w:rsidR="003B341C" w:rsidRDefault="003B341C" w:rsidP="00742E62">
            <w:pPr>
              <w:pStyle w:val="SectionBodyText"/>
              <w:spacing w:before="60" w:after="60"/>
              <w:rPr>
                <w:lang w:eastAsia="en-GB"/>
              </w:rPr>
            </w:pPr>
            <w:r w:rsidRPr="003B341C">
              <w:rPr>
                <w:lang w:eastAsia="en-GB"/>
              </w:rPr>
              <w:t>exportCapacityMultiFreq2Excel</w:t>
            </w:r>
            <w:r>
              <w:rPr>
                <w:lang w:eastAsia="en-GB"/>
              </w:rPr>
              <w:t>.m</w:t>
            </w:r>
          </w:p>
        </w:tc>
        <w:tc>
          <w:tcPr>
            <w:tcW w:w="1071" w:type="dxa"/>
          </w:tcPr>
          <w:p w:rsidR="003B341C" w:rsidRDefault="003B341C" w:rsidP="0017430D">
            <w:pPr>
              <w:pStyle w:val="SectionBodyText"/>
              <w:spacing w:before="60" w:after="60"/>
              <w:jc w:val="center"/>
              <w:rPr>
                <w:lang w:eastAsia="en-GB"/>
              </w:rPr>
            </w:pPr>
            <w:r>
              <w:rPr>
                <w:lang w:eastAsia="en-GB"/>
              </w:rPr>
              <w:t>1.0</w:t>
            </w:r>
          </w:p>
        </w:tc>
        <w:tc>
          <w:tcPr>
            <w:tcW w:w="4519" w:type="dxa"/>
          </w:tcPr>
          <w:p w:rsidR="003B341C" w:rsidRPr="00A63E03" w:rsidRDefault="003B341C" w:rsidP="00417BAA">
            <w:pPr>
              <w:pStyle w:val="SectionBodyText"/>
              <w:spacing w:before="60" w:after="60"/>
              <w:rPr>
                <w:lang w:eastAsia="en-GB"/>
              </w:rPr>
            </w:pPr>
            <w:r w:rsidRPr="003B341C">
              <w:rPr>
                <w:lang w:eastAsia="en-GB"/>
              </w:rPr>
              <w:t>Script to generate and export mult</w:t>
            </w:r>
            <w:r>
              <w:rPr>
                <w:lang w:eastAsia="en-GB"/>
              </w:rPr>
              <w:t>i</w:t>
            </w:r>
            <w:r w:rsidRPr="003B341C">
              <w:rPr>
                <w:lang w:eastAsia="en-GB"/>
              </w:rPr>
              <w:t xml:space="preserve">-frequency </w:t>
            </w:r>
            <w:r w:rsidR="00742E62">
              <w:rPr>
                <w:lang w:eastAsia="en-GB"/>
              </w:rPr>
              <w:t xml:space="preserve">capacity </w:t>
            </w:r>
            <w:r w:rsidRPr="003B341C">
              <w:rPr>
                <w:lang w:eastAsia="en-GB"/>
              </w:rPr>
              <w:t>data to an Excel workbook</w:t>
            </w:r>
          </w:p>
        </w:tc>
      </w:tr>
      <w:tr w:rsidR="00742E62" w:rsidTr="00C755E4">
        <w:trPr>
          <w:cantSplit/>
        </w:trPr>
        <w:tc>
          <w:tcPr>
            <w:tcW w:w="3652" w:type="dxa"/>
          </w:tcPr>
          <w:p w:rsidR="00742E62" w:rsidRPr="003B341C" w:rsidRDefault="00742E62" w:rsidP="00742E62">
            <w:pPr>
              <w:pStyle w:val="SectionBodyText"/>
              <w:spacing w:before="60" w:after="60"/>
              <w:rPr>
                <w:lang w:eastAsia="en-GB"/>
              </w:rPr>
            </w:pPr>
            <w:r w:rsidRPr="003B341C">
              <w:rPr>
                <w:lang w:eastAsia="en-GB"/>
              </w:rPr>
              <w:t>exportCapacity</w:t>
            </w:r>
            <w:r>
              <w:rPr>
                <w:lang w:eastAsia="en-GB"/>
              </w:rPr>
              <w:t>Single</w:t>
            </w:r>
            <w:r w:rsidRPr="003B341C">
              <w:rPr>
                <w:lang w:eastAsia="en-GB"/>
              </w:rPr>
              <w:t>Freq2Excel</w:t>
            </w:r>
            <w:r>
              <w:rPr>
                <w:lang w:eastAsia="en-GB"/>
              </w:rPr>
              <w:t>.m</w:t>
            </w:r>
          </w:p>
        </w:tc>
        <w:tc>
          <w:tcPr>
            <w:tcW w:w="1071" w:type="dxa"/>
          </w:tcPr>
          <w:p w:rsidR="00742E62" w:rsidRDefault="00742E62" w:rsidP="0017430D">
            <w:pPr>
              <w:pStyle w:val="SectionBodyText"/>
              <w:spacing w:before="60" w:after="60"/>
              <w:jc w:val="center"/>
              <w:rPr>
                <w:lang w:eastAsia="en-GB"/>
              </w:rPr>
            </w:pPr>
            <w:r>
              <w:rPr>
                <w:lang w:eastAsia="en-GB"/>
              </w:rPr>
              <w:t>1.0</w:t>
            </w:r>
          </w:p>
        </w:tc>
        <w:tc>
          <w:tcPr>
            <w:tcW w:w="4519" w:type="dxa"/>
          </w:tcPr>
          <w:p w:rsidR="00742E62" w:rsidRPr="003B341C" w:rsidRDefault="00742E62" w:rsidP="00742E62">
            <w:pPr>
              <w:pStyle w:val="SectionBodyText"/>
              <w:spacing w:before="60" w:after="60"/>
              <w:rPr>
                <w:lang w:eastAsia="en-GB"/>
              </w:rPr>
            </w:pPr>
            <w:r w:rsidRPr="003B341C">
              <w:rPr>
                <w:lang w:eastAsia="en-GB"/>
              </w:rPr>
              <w:t xml:space="preserve">Script to export </w:t>
            </w:r>
            <w:r>
              <w:rPr>
                <w:lang w:eastAsia="en-GB"/>
              </w:rPr>
              <w:t>single</w:t>
            </w:r>
            <w:r w:rsidRPr="003B341C">
              <w:rPr>
                <w:lang w:eastAsia="en-GB"/>
              </w:rPr>
              <w:t xml:space="preserve">-frequency </w:t>
            </w:r>
            <w:r>
              <w:rPr>
                <w:lang w:eastAsia="en-GB"/>
              </w:rPr>
              <w:t xml:space="preserve">capacity </w:t>
            </w:r>
            <w:r w:rsidRPr="003B341C">
              <w:rPr>
                <w:lang w:eastAsia="en-GB"/>
              </w:rPr>
              <w:t>data to an Excel workbook</w:t>
            </w:r>
          </w:p>
        </w:tc>
      </w:tr>
      <w:tr w:rsidR="005F636C" w:rsidTr="00C755E4">
        <w:trPr>
          <w:cantSplit/>
        </w:trPr>
        <w:tc>
          <w:tcPr>
            <w:tcW w:w="3652" w:type="dxa"/>
          </w:tcPr>
          <w:p w:rsidR="005F636C" w:rsidRPr="003B341C" w:rsidRDefault="005F636C" w:rsidP="00742E62">
            <w:pPr>
              <w:pStyle w:val="SectionBodyText"/>
              <w:spacing w:before="60" w:after="60"/>
              <w:rPr>
                <w:lang w:eastAsia="en-GB"/>
              </w:rPr>
            </w:pPr>
            <w:r>
              <w:rPr>
                <w:lang w:eastAsia="en-GB"/>
              </w:rPr>
              <w:t>exportThroughput2Excel.m</w:t>
            </w:r>
          </w:p>
        </w:tc>
        <w:tc>
          <w:tcPr>
            <w:tcW w:w="1071" w:type="dxa"/>
          </w:tcPr>
          <w:p w:rsidR="005F636C" w:rsidRDefault="005F636C" w:rsidP="0017430D">
            <w:pPr>
              <w:pStyle w:val="SectionBodyText"/>
              <w:spacing w:before="60" w:after="60"/>
              <w:jc w:val="center"/>
              <w:rPr>
                <w:lang w:eastAsia="en-GB"/>
              </w:rPr>
            </w:pPr>
            <w:r>
              <w:rPr>
                <w:lang w:eastAsia="en-GB"/>
              </w:rPr>
              <w:t>1.0</w:t>
            </w:r>
          </w:p>
        </w:tc>
        <w:tc>
          <w:tcPr>
            <w:tcW w:w="4519" w:type="dxa"/>
          </w:tcPr>
          <w:p w:rsidR="005F636C" w:rsidRPr="003B341C" w:rsidRDefault="005F636C" w:rsidP="00742E62">
            <w:pPr>
              <w:pStyle w:val="SectionBodyText"/>
              <w:spacing w:before="60" w:after="60"/>
              <w:rPr>
                <w:lang w:eastAsia="en-GB"/>
              </w:rPr>
            </w:pPr>
            <w:r w:rsidRPr="005F636C">
              <w:rPr>
                <w:lang w:eastAsia="en-GB"/>
              </w:rPr>
              <w:t>Script to export throughput and coverage data to Excel workbook</w:t>
            </w:r>
          </w:p>
        </w:tc>
      </w:tr>
      <w:tr w:rsidR="0093147C" w:rsidTr="00C755E4">
        <w:trPr>
          <w:cantSplit/>
        </w:trPr>
        <w:tc>
          <w:tcPr>
            <w:tcW w:w="3652" w:type="dxa"/>
          </w:tcPr>
          <w:p w:rsidR="0093147C" w:rsidRDefault="0093147C" w:rsidP="00742E62">
            <w:pPr>
              <w:pStyle w:val="SectionBodyText"/>
              <w:spacing w:before="60" w:after="60"/>
              <w:rPr>
                <w:lang w:eastAsia="en-GB"/>
              </w:rPr>
            </w:pPr>
            <w:r>
              <w:rPr>
                <w:lang w:eastAsia="en-GB"/>
              </w:rPr>
              <w:t>testCoverageAllDepths</w:t>
            </w:r>
            <w:r w:rsidR="00A12A0B">
              <w:rPr>
                <w:lang w:eastAsia="en-GB"/>
              </w:rPr>
              <w:t>.m</w:t>
            </w:r>
          </w:p>
        </w:tc>
        <w:tc>
          <w:tcPr>
            <w:tcW w:w="1071" w:type="dxa"/>
          </w:tcPr>
          <w:p w:rsidR="0093147C" w:rsidRDefault="0093147C" w:rsidP="0017430D">
            <w:pPr>
              <w:pStyle w:val="SectionBodyText"/>
              <w:spacing w:before="60" w:after="60"/>
              <w:jc w:val="center"/>
              <w:rPr>
                <w:lang w:eastAsia="en-GB"/>
              </w:rPr>
            </w:pPr>
            <w:r>
              <w:rPr>
                <w:lang w:eastAsia="en-GB"/>
              </w:rPr>
              <w:t>1.0</w:t>
            </w:r>
          </w:p>
        </w:tc>
        <w:tc>
          <w:tcPr>
            <w:tcW w:w="4519" w:type="dxa"/>
          </w:tcPr>
          <w:p w:rsidR="0093147C" w:rsidRPr="005F636C" w:rsidRDefault="0093147C" w:rsidP="00742E62">
            <w:pPr>
              <w:pStyle w:val="SectionBodyText"/>
              <w:spacing w:before="60" w:after="60"/>
              <w:rPr>
                <w:lang w:eastAsia="en-GB"/>
              </w:rPr>
            </w:pPr>
            <w:r w:rsidRPr="0093147C">
              <w:rPr>
                <w:lang w:eastAsia="en-GB"/>
              </w:rPr>
              <w:t>Script to calculate coverage based on all depths</w:t>
            </w:r>
          </w:p>
        </w:tc>
      </w:tr>
      <w:tr w:rsidR="0093147C" w:rsidTr="00C755E4">
        <w:trPr>
          <w:cantSplit/>
        </w:trPr>
        <w:tc>
          <w:tcPr>
            <w:tcW w:w="3652" w:type="dxa"/>
          </w:tcPr>
          <w:p w:rsidR="0093147C" w:rsidRDefault="00A12A0B" w:rsidP="00742E62">
            <w:pPr>
              <w:pStyle w:val="SectionBodyText"/>
              <w:spacing w:before="60" w:after="60"/>
              <w:rPr>
                <w:lang w:eastAsia="en-GB"/>
              </w:rPr>
            </w:pPr>
            <w:r>
              <w:rPr>
                <w:lang w:eastAsia="en-GB"/>
              </w:rPr>
              <w:t>testCoverage.m</w:t>
            </w:r>
          </w:p>
        </w:tc>
        <w:tc>
          <w:tcPr>
            <w:tcW w:w="1071" w:type="dxa"/>
          </w:tcPr>
          <w:p w:rsidR="0093147C" w:rsidRDefault="00A12A0B" w:rsidP="0017430D">
            <w:pPr>
              <w:pStyle w:val="SectionBodyText"/>
              <w:spacing w:before="60" w:after="60"/>
              <w:jc w:val="center"/>
              <w:rPr>
                <w:lang w:eastAsia="en-GB"/>
              </w:rPr>
            </w:pPr>
            <w:r>
              <w:rPr>
                <w:lang w:eastAsia="en-GB"/>
              </w:rPr>
              <w:t>1.0</w:t>
            </w:r>
          </w:p>
        </w:tc>
        <w:tc>
          <w:tcPr>
            <w:tcW w:w="4519" w:type="dxa"/>
          </w:tcPr>
          <w:p w:rsidR="0093147C" w:rsidRPr="0093147C" w:rsidRDefault="00A12A0B" w:rsidP="00742E62">
            <w:pPr>
              <w:pStyle w:val="SectionBodyText"/>
              <w:spacing w:before="60" w:after="60"/>
              <w:rPr>
                <w:lang w:eastAsia="en-GB"/>
              </w:rPr>
            </w:pPr>
            <w:r w:rsidRPr="00A12A0B">
              <w:rPr>
                <w:lang w:eastAsia="en-GB"/>
              </w:rPr>
              <w:t>Script to calculate coverage based on individual depths</w:t>
            </w:r>
          </w:p>
        </w:tc>
      </w:tr>
      <w:tr w:rsidR="00E93D15" w:rsidTr="00C755E4">
        <w:trPr>
          <w:cantSplit/>
        </w:trPr>
        <w:tc>
          <w:tcPr>
            <w:tcW w:w="3652" w:type="dxa"/>
          </w:tcPr>
          <w:p w:rsidR="00E93D15" w:rsidRDefault="00E93D15" w:rsidP="00742E62">
            <w:pPr>
              <w:pStyle w:val="SectionBodyText"/>
              <w:spacing w:before="60" w:after="60"/>
              <w:rPr>
                <w:lang w:eastAsia="en-GB"/>
              </w:rPr>
            </w:pPr>
            <w:r>
              <w:rPr>
                <w:lang w:eastAsia="en-GB"/>
              </w:rPr>
              <w:t>testThroughputAllDepths.m</w:t>
            </w:r>
          </w:p>
        </w:tc>
        <w:tc>
          <w:tcPr>
            <w:tcW w:w="1071" w:type="dxa"/>
          </w:tcPr>
          <w:p w:rsidR="00E93D15" w:rsidRDefault="00E93D15" w:rsidP="0017430D">
            <w:pPr>
              <w:pStyle w:val="SectionBodyText"/>
              <w:spacing w:before="60" w:after="60"/>
              <w:jc w:val="center"/>
              <w:rPr>
                <w:lang w:eastAsia="en-GB"/>
              </w:rPr>
            </w:pPr>
            <w:r>
              <w:rPr>
                <w:lang w:eastAsia="en-GB"/>
              </w:rPr>
              <w:t>1.0</w:t>
            </w:r>
          </w:p>
        </w:tc>
        <w:tc>
          <w:tcPr>
            <w:tcW w:w="4519" w:type="dxa"/>
          </w:tcPr>
          <w:p w:rsidR="00E93D15" w:rsidRPr="00A265DF" w:rsidRDefault="00E93D15" w:rsidP="00E93D15">
            <w:pPr>
              <w:pStyle w:val="SectionBodyText"/>
              <w:spacing w:before="60" w:after="60"/>
              <w:rPr>
                <w:lang w:eastAsia="en-GB"/>
              </w:rPr>
            </w:pPr>
            <w:r w:rsidRPr="00A265DF">
              <w:rPr>
                <w:lang w:eastAsia="en-GB"/>
              </w:rPr>
              <w:t xml:space="preserve">Script to calculate single-user throughputs based on </w:t>
            </w:r>
            <w:r>
              <w:rPr>
                <w:lang w:eastAsia="en-GB"/>
              </w:rPr>
              <w:t>al</w:t>
            </w:r>
            <w:r w:rsidRPr="00A265DF">
              <w:rPr>
                <w:lang w:eastAsia="en-GB"/>
              </w:rPr>
              <w:t>l depths</w:t>
            </w:r>
          </w:p>
        </w:tc>
      </w:tr>
      <w:tr w:rsidR="00A265DF" w:rsidTr="00C755E4">
        <w:trPr>
          <w:cantSplit/>
        </w:trPr>
        <w:tc>
          <w:tcPr>
            <w:tcW w:w="3652" w:type="dxa"/>
          </w:tcPr>
          <w:p w:rsidR="00A265DF" w:rsidRDefault="00A265DF" w:rsidP="00742E62">
            <w:pPr>
              <w:pStyle w:val="SectionBodyText"/>
              <w:spacing w:before="60" w:after="60"/>
              <w:rPr>
                <w:lang w:eastAsia="en-GB"/>
              </w:rPr>
            </w:pPr>
            <w:r>
              <w:rPr>
                <w:lang w:eastAsia="en-GB"/>
              </w:rPr>
              <w:t>testThroughput.m</w:t>
            </w:r>
          </w:p>
        </w:tc>
        <w:tc>
          <w:tcPr>
            <w:tcW w:w="1071" w:type="dxa"/>
          </w:tcPr>
          <w:p w:rsidR="00A265DF" w:rsidRDefault="00A265DF" w:rsidP="0017430D">
            <w:pPr>
              <w:pStyle w:val="SectionBodyText"/>
              <w:spacing w:before="60" w:after="60"/>
              <w:jc w:val="center"/>
              <w:rPr>
                <w:lang w:eastAsia="en-GB"/>
              </w:rPr>
            </w:pPr>
            <w:r>
              <w:rPr>
                <w:lang w:eastAsia="en-GB"/>
              </w:rPr>
              <w:t>1.0</w:t>
            </w:r>
          </w:p>
        </w:tc>
        <w:tc>
          <w:tcPr>
            <w:tcW w:w="4519" w:type="dxa"/>
          </w:tcPr>
          <w:p w:rsidR="00A265DF" w:rsidRPr="00A12A0B" w:rsidRDefault="00A265DF" w:rsidP="00742E62">
            <w:pPr>
              <w:pStyle w:val="SectionBodyText"/>
              <w:spacing w:before="60" w:after="60"/>
              <w:rPr>
                <w:lang w:eastAsia="en-GB"/>
              </w:rPr>
            </w:pPr>
            <w:r w:rsidRPr="00A265DF">
              <w:rPr>
                <w:lang w:eastAsia="en-GB"/>
              </w:rPr>
              <w:t>Script to calculate single-user throughputs based on individual depths</w:t>
            </w:r>
          </w:p>
        </w:tc>
      </w:tr>
      <w:tr w:rsidR="00A12A0B" w:rsidTr="00C755E4">
        <w:trPr>
          <w:cantSplit/>
        </w:trPr>
        <w:tc>
          <w:tcPr>
            <w:tcW w:w="3652" w:type="dxa"/>
          </w:tcPr>
          <w:p w:rsidR="00A12A0B" w:rsidRDefault="00A12A0B" w:rsidP="00742E62">
            <w:pPr>
              <w:pStyle w:val="SectionBodyText"/>
              <w:spacing w:before="60" w:after="60"/>
              <w:rPr>
                <w:lang w:eastAsia="en-GB"/>
              </w:rPr>
            </w:pPr>
            <w:r>
              <w:rPr>
                <w:lang w:eastAsia="en-GB"/>
              </w:rPr>
              <w:t>graphsSingleLoadingAllDepths.m</w:t>
            </w:r>
          </w:p>
        </w:tc>
        <w:tc>
          <w:tcPr>
            <w:tcW w:w="1071" w:type="dxa"/>
          </w:tcPr>
          <w:p w:rsidR="00A12A0B" w:rsidRDefault="00A12A0B" w:rsidP="0017430D">
            <w:pPr>
              <w:pStyle w:val="SectionBodyText"/>
              <w:spacing w:before="60" w:after="60"/>
              <w:jc w:val="center"/>
              <w:rPr>
                <w:lang w:eastAsia="en-GB"/>
              </w:rPr>
            </w:pPr>
            <w:r>
              <w:rPr>
                <w:lang w:eastAsia="en-GB"/>
              </w:rPr>
              <w:t>1.0</w:t>
            </w:r>
          </w:p>
        </w:tc>
        <w:tc>
          <w:tcPr>
            <w:tcW w:w="4519" w:type="dxa"/>
          </w:tcPr>
          <w:p w:rsidR="00A12A0B" w:rsidRPr="00A12A0B" w:rsidRDefault="00A12A0B" w:rsidP="00E93D15">
            <w:pPr>
              <w:pStyle w:val="SectionBodyText"/>
              <w:spacing w:before="60" w:after="60"/>
              <w:rPr>
                <w:lang w:eastAsia="en-GB"/>
              </w:rPr>
            </w:pPr>
            <w:r w:rsidRPr="00A12A0B">
              <w:rPr>
                <w:lang w:eastAsia="en-GB"/>
              </w:rPr>
              <w:t>Script to generate single</w:t>
            </w:r>
            <w:r w:rsidR="00E93D15">
              <w:rPr>
                <w:lang w:eastAsia="en-GB"/>
              </w:rPr>
              <w:t>-</w:t>
            </w:r>
            <w:r w:rsidRPr="00A12A0B">
              <w:rPr>
                <w:lang w:eastAsia="en-GB"/>
              </w:rPr>
              <w:t>user throughput graphs based on all depths</w:t>
            </w:r>
          </w:p>
        </w:tc>
      </w:tr>
      <w:tr w:rsidR="00E93D15" w:rsidTr="00C755E4">
        <w:trPr>
          <w:cantSplit/>
        </w:trPr>
        <w:tc>
          <w:tcPr>
            <w:tcW w:w="3652" w:type="dxa"/>
          </w:tcPr>
          <w:p w:rsidR="00E93D15" w:rsidRDefault="00E93D15" w:rsidP="00742E62">
            <w:pPr>
              <w:pStyle w:val="SectionBodyText"/>
              <w:spacing w:before="60" w:after="60"/>
              <w:rPr>
                <w:lang w:eastAsia="en-GB"/>
              </w:rPr>
            </w:pPr>
            <w:r>
              <w:rPr>
                <w:lang w:eastAsia="en-GB"/>
              </w:rPr>
              <w:t>graphsSingleLoading.m</w:t>
            </w:r>
          </w:p>
        </w:tc>
        <w:tc>
          <w:tcPr>
            <w:tcW w:w="1071" w:type="dxa"/>
          </w:tcPr>
          <w:p w:rsidR="00E93D15" w:rsidRDefault="00E93D15" w:rsidP="0017430D">
            <w:pPr>
              <w:pStyle w:val="SectionBodyText"/>
              <w:spacing w:before="60" w:after="60"/>
              <w:jc w:val="center"/>
              <w:rPr>
                <w:lang w:eastAsia="en-GB"/>
              </w:rPr>
            </w:pPr>
            <w:r>
              <w:rPr>
                <w:lang w:eastAsia="en-GB"/>
              </w:rPr>
              <w:t>1.0</w:t>
            </w:r>
          </w:p>
        </w:tc>
        <w:tc>
          <w:tcPr>
            <w:tcW w:w="4519" w:type="dxa"/>
          </w:tcPr>
          <w:p w:rsidR="00E93D15" w:rsidRPr="00E93D15" w:rsidRDefault="00E93D15" w:rsidP="00742E62">
            <w:pPr>
              <w:pStyle w:val="SectionBodyText"/>
              <w:spacing w:before="60" w:after="60"/>
              <w:rPr>
                <w:lang w:eastAsia="en-GB"/>
              </w:rPr>
            </w:pPr>
            <w:r w:rsidRPr="00E93D15">
              <w:rPr>
                <w:lang w:eastAsia="en-GB"/>
              </w:rPr>
              <w:t>Script to generate single user throughput graphs based on individual depths</w:t>
            </w:r>
          </w:p>
        </w:tc>
      </w:tr>
      <w:tr w:rsidR="00E93D15" w:rsidTr="00C755E4">
        <w:trPr>
          <w:cantSplit/>
        </w:trPr>
        <w:tc>
          <w:tcPr>
            <w:tcW w:w="3652" w:type="dxa"/>
          </w:tcPr>
          <w:p w:rsidR="00E93D15" w:rsidRDefault="00E93D15" w:rsidP="00742E62">
            <w:pPr>
              <w:pStyle w:val="SectionBodyText"/>
              <w:spacing w:before="60" w:after="60"/>
              <w:rPr>
                <w:lang w:eastAsia="en-GB"/>
              </w:rPr>
            </w:pPr>
            <w:r>
              <w:rPr>
                <w:lang w:eastAsia="en-GB"/>
              </w:rPr>
              <w:t>graphsCoverage.m</w:t>
            </w:r>
          </w:p>
        </w:tc>
        <w:tc>
          <w:tcPr>
            <w:tcW w:w="1071" w:type="dxa"/>
          </w:tcPr>
          <w:p w:rsidR="00E93D15" w:rsidRDefault="00E93D15" w:rsidP="0017430D">
            <w:pPr>
              <w:pStyle w:val="SectionBodyText"/>
              <w:spacing w:before="60" w:after="60"/>
              <w:jc w:val="center"/>
              <w:rPr>
                <w:lang w:eastAsia="en-GB"/>
              </w:rPr>
            </w:pPr>
            <w:r>
              <w:rPr>
                <w:lang w:eastAsia="en-GB"/>
              </w:rPr>
              <w:t>1.0</w:t>
            </w:r>
          </w:p>
        </w:tc>
        <w:tc>
          <w:tcPr>
            <w:tcW w:w="4519" w:type="dxa"/>
          </w:tcPr>
          <w:p w:rsidR="00E93D15" w:rsidRPr="00A12A0B" w:rsidRDefault="00E93D15" w:rsidP="00742E62">
            <w:pPr>
              <w:pStyle w:val="SectionBodyText"/>
              <w:spacing w:before="60" w:after="60"/>
              <w:rPr>
                <w:lang w:eastAsia="en-GB"/>
              </w:rPr>
            </w:pPr>
            <w:r w:rsidRPr="00E93D15">
              <w:rPr>
                <w:lang w:eastAsia="en-GB"/>
              </w:rPr>
              <w:t>Script to generate single-user throughput graphs based on individual depths</w:t>
            </w:r>
          </w:p>
        </w:tc>
      </w:tr>
    </w:tbl>
    <w:p w:rsidR="00A02AA5" w:rsidRDefault="00A02AA5"/>
    <w:p w:rsidR="00A02AA5" w:rsidRDefault="00A02AA5" w:rsidP="00A02AA5">
      <w:pPr>
        <w:pStyle w:val="Caption"/>
      </w:pPr>
      <w:bookmarkStart w:id="5" w:name="_Ref315092056"/>
      <w:r>
        <w:t xml:space="preserve">Table </w:t>
      </w:r>
      <w:fldSimple w:instr=" SEQ Table \* ARABIC ">
        <w:r>
          <w:rPr>
            <w:noProof/>
          </w:rPr>
          <w:t>4</w:t>
        </w:r>
      </w:fldSimple>
      <w:bookmarkEnd w:id="5"/>
      <w:r>
        <w:t>: Excel template files</w:t>
      </w:r>
    </w:p>
    <w:tbl>
      <w:tblPr>
        <w:tblStyle w:val="TableGrid"/>
        <w:tblW w:w="0" w:type="auto"/>
        <w:tblLook w:val="04A0"/>
      </w:tblPr>
      <w:tblGrid>
        <w:gridCol w:w="4325"/>
        <w:gridCol w:w="810"/>
        <w:gridCol w:w="4107"/>
      </w:tblGrid>
      <w:tr w:rsidR="00A02AA5" w:rsidTr="00C755E4">
        <w:trPr>
          <w:cantSplit/>
        </w:trPr>
        <w:tc>
          <w:tcPr>
            <w:tcW w:w="3652" w:type="dxa"/>
          </w:tcPr>
          <w:p w:rsidR="00A02AA5" w:rsidRDefault="00A02AA5" w:rsidP="00742E62">
            <w:pPr>
              <w:pStyle w:val="SectionBodyText"/>
              <w:spacing w:before="60" w:after="60"/>
              <w:rPr>
                <w:lang w:eastAsia="en-GB"/>
              </w:rPr>
            </w:pPr>
            <w:r w:rsidRPr="00A02AA5">
              <w:rPr>
                <w:lang w:eastAsia="en-GB"/>
              </w:rPr>
              <w:t>Summary_technical_results_template</w:t>
            </w:r>
            <w:r>
              <w:rPr>
                <w:lang w:eastAsia="en-GB"/>
              </w:rPr>
              <w:t>.xlsx</w:t>
            </w:r>
          </w:p>
        </w:tc>
        <w:tc>
          <w:tcPr>
            <w:tcW w:w="1071" w:type="dxa"/>
          </w:tcPr>
          <w:p w:rsidR="00A02AA5" w:rsidRDefault="00A02AA5" w:rsidP="0017430D">
            <w:pPr>
              <w:pStyle w:val="SectionBodyText"/>
              <w:spacing w:before="60" w:after="60"/>
              <w:jc w:val="center"/>
              <w:rPr>
                <w:lang w:eastAsia="en-GB"/>
              </w:rPr>
            </w:pPr>
            <w:r>
              <w:rPr>
                <w:lang w:eastAsia="en-GB"/>
              </w:rPr>
              <w:t>1.0</w:t>
            </w:r>
          </w:p>
        </w:tc>
        <w:tc>
          <w:tcPr>
            <w:tcW w:w="4519" w:type="dxa"/>
          </w:tcPr>
          <w:p w:rsidR="00A02AA5" w:rsidRPr="00E93D15" w:rsidRDefault="00A833F9" w:rsidP="00A02AA5">
            <w:pPr>
              <w:pStyle w:val="SectionBodyText"/>
              <w:spacing w:before="60" w:after="60"/>
              <w:rPr>
                <w:lang w:eastAsia="en-GB"/>
              </w:rPr>
            </w:pPr>
            <w:r>
              <w:rPr>
                <w:lang w:eastAsia="en-GB"/>
              </w:rPr>
              <w:t>Excel t</w:t>
            </w:r>
            <w:r w:rsidR="00A02AA5">
              <w:rPr>
                <w:lang w:eastAsia="en-GB"/>
              </w:rPr>
              <w:t>emplate for exportThroughput2Excel.m script</w:t>
            </w:r>
          </w:p>
        </w:tc>
      </w:tr>
      <w:tr w:rsidR="00A833F9" w:rsidTr="00C755E4">
        <w:trPr>
          <w:cantSplit/>
        </w:trPr>
        <w:tc>
          <w:tcPr>
            <w:tcW w:w="3652" w:type="dxa"/>
          </w:tcPr>
          <w:p w:rsidR="00A833F9" w:rsidRPr="00A02AA5" w:rsidRDefault="00A833F9" w:rsidP="00742E62">
            <w:pPr>
              <w:pStyle w:val="SectionBodyText"/>
              <w:spacing w:before="60" w:after="60"/>
              <w:rPr>
                <w:lang w:eastAsia="en-GB"/>
              </w:rPr>
            </w:pPr>
            <w:r w:rsidRPr="00A833F9">
              <w:rPr>
                <w:lang w:eastAsia="en-GB"/>
              </w:rPr>
              <w:lastRenderedPageBreak/>
              <w:t>Capacity_multifreq_results_template</w:t>
            </w:r>
            <w:r>
              <w:rPr>
                <w:lang w:eastAsia="en-GB"/>
              </w:rPr>
              <w:t>.xlsx</w:t>
            </w:r>
          </w:p>
        </w:tc>
        <w:tc>
          <w:tcPr>
            <w:tcW w:w="1071" w:type="dxa"/>
          </w:tcPr>
          <w:p w:rsidR="00A833F9" w:rsidRDefault="00A833F9" w:rsidP="0017430D">
            <w:pPr>
              <w:pStyle w:val="SectionBodyText"/>
              <w:spacing w:before="60" w:after="60"/>
              <w:jc w:val="center"/>
              <w:rPr>
                <w:lang w:eastAsia="en-GB"/>
              </w:rPr>
            </w:pPr>
            <w:r>
              <w:rPr>
                <w:lang w:eastAsia="en-GB"/>
              </w:rPr>
              <w:t>1.0</w:t>
            </w:r>
          </w:p>
        </w:tc>
        <w:tc>
          <w:tcPr>
            <w:tcW w:w="4519" w:type="dxa"/>
          </w:tcPr>
          <w:p w:rsidR="00A833F9" w:rsidRDefault="00A833F9" w:rsidP="00A833F9">
            <w:pPr>
              <w:pStyle w:val="SectionBodyText"/>
              <w:spacing w:before="60" w:after="60"/>
              <w:rPr>
                <w:lang w:eastAsia="en-GB"/>
              </w:rPr>
            </w:pPr>
            <w:r>
              <w:rPr>
                <w:lang w:eastAsia="en-GB"/>
              </w:rPr>
              <w:t xml:space="preserve">Excel Template for </w:t>
            </w:r>
            <w:r w:rsidRPr="003B341C">
              <w:rPr>
                <w:lang w:eastAsia="en-GB"/>
              </w:rPr>
              <w:t>exportCapacity</w:t>
            </w:r>
            <w:r>
              <w:rPr>
                <w:lang w:eastAsia="en-GB"/>
              </w:rPr>
              <w:t>Multi</w:t>
            </w:r>
            <w:r w:rsidRPr="003B341C">
              <w:rPr>
                <w:lang w:eastAsia="en-GB"/>
              </w:rPr>
              <w:t>Freq2Excel</w:t>
            </w:r>
            <w:r>
              <w:rPr>
                <w:lang w:eastAsia="en-GB"/>
              </w:rPr>
              <w:t>.m script</w:t>
            </w:r>
          </w:p>
        </w:tc>
      </w:tr>
      <w:tr w:rsidR="00A02AA5" w:rsidTr="00C755E4">
        <w:trPr>
          <w:cantSplit/>
        </w:trPr>
        <w:tc>
          <w:tcPr>
            <w:tcW w:w="3652" w:type="dxa"/>
          </w:tcPr>
          <w:p w:rsidR="00A02AA5" w:rsidRPr="00A02AA5" w:rsidRDefault="00A02AA5" w:rsidP="00742E62">
            <w:pPr>
              <w:pStyle w:val="SectionBodyText"/>
              <w:spacing w:before="60" w:after="60"/>
              <w:rPr>
                <w:lang w:eastAsia="en-GB"/>
              </w:rPr>
            </w:pPr>
            <w:r w:rsidRPr="00A02AA5">
              <w:rPr>
                <w:lang w:eastAsia="en-GB"/>
              </w:rPr>
              <w:t>Capacity_singlefreq_results_template</w:t>
            </w:r>
            <w:r>
              <w:rPr>
                <w:lang w:eastAsia="en-GB"/>
              </w:rPr>
              <w:t>.xlsx</w:t>
            </w:r>
          </w:p>
        </w:tc>
        <w:tc>
          <w:tcPr>
            <w:tcW w:w="1071" w:type="dxa"/>
          </w:tcPr>
          <w:p w:rsidR="00A02AA5" w:rsidRDefault="00A833F9" w:rsidP="0017430D">
            <w:pPr>
              <w:pStyle w:val="SectionBodyText"/>
              <w:spacing w:before="60" w:after="60"/>
              <w:jc w:val="center"/>
              <w:rPr>
                <w:lang w:eastAsia="en-GB"/>
              </w:rPr>
            </w:pPr>
            <w:r>
              <w:rPr>
                <w:lang w:eastAsia="en-GB"/>
              </w:rPr>
              <w:t>1.0</w:t>
            </w:r>
          </w:p>
        </w:tc>
        <w:tc>
          <w:tcPr>
            <w:tcW w:w="4519" w:type="dxa"/>
          </w:tcPr>
          <w:p w:rsidR="00A02AA5" w:rsidRDefault="00A833F9" w:rsidP="00A02AA5">
            <w:pPr>
              <w:pStyle w:val="SectionBodyText"/>
              <w:spacing w:before="60" w:after="60"/>
              <w:rPr>
                <w:lang w:eastAsia="en-GB"/>
              </w:rPr>
            </w:pPr>
            <w:r>
              <w:rPr>
                <w:lang w:eastAsia="en-GB"/>
              </w:rPr>
              <w:t xml:space="preserve">Excel Template for </w:t>
            </w:r>
            <w:r w:rsidRPr="003B341C">
              <w:rPr>
                <w:lang w:eastAsia="en-GB"/>
              </w:rPr>
              <w:t>exportCapacity</w:t>
            </w:r>
            <w:r>
              <w:rPr>
                <w:lang w:eastAsia="en-GB"/>
              </w:rPr>
              <w:t>Single</w:t>
            </w:r>
            <w:r w:rsidRPr="003B341C">
              <w:rPr>
                <w:lang w:eastAsia="en-GB"/>
              </w:rPr>
              <w:t>Freq2Excel</w:t>
            </w:r>
            <w:r>
              <w:rPr>
                <w:lang w:eastAsia="en-GB"/>
              </w:rPr>
              <w:t>.m script</w:t>
            </w:r>
          </w:p>
        </w:tc>
      </w:tr>
      <w:bookmarkEnd w:id="0"/>
    </w:tbl>
    <w:p w:rsidR="00724CE3" w:rsidRDefault="00724CE3" w:rsidP="002D3002">
      <w:pPr>
        <w:pStyle w:val="SectionBodyText"/>
        <w:rPr>
          <w:lang w:eastAsia="en-GB"/>
        </w:rPr>
      </w:pPr>
    </w:p>
    <w:sectPr w:rsidR="00724CE3" w:rsidSect="00035273">
      <w:headerReference w:type="even" r:id="rId11"/>
      <w:headerReference w:type="default" r:id="rId12"/>
      <w:footerReference w:type="default" r:id="rId13"/>
      <w:headerReference w:type="first" r:id="rId14"/>
      <w:footerReference w:type="first" r:id="rId15"/>
      <w:type w:val="evenPage"/>
      <w:pgSz w:w="11906" w:h="16838"/>
      <w:pgMar w:top="1440" w:right="1440" w:bottom="1440" w:left="1440"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0F82" w:rsidRDefault="00F10F82">
      <w:r>
        <w:separator/>
      </w:r>
    </w:p>
  </w:endnote>
  <w:endnote w:type="continuationSeparator" w:id="1">
    <w:p w:rsidR="00F10F82" w:rsidRDefault="00F10F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123" w:rsidRDefault="00B77E78">
    <w:pPr>
      <w:pStyle w:val="Footer"/>
    </w:pPr>
    <w:fldSimple w:instr=" PAGE  \* MERGEFORMAT ">
      <w:r w:rsidR="00CC1BDD">
        <w:rPr>
          <w:noProof/>
        </w:rPr>
        <w:t>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123" w:rsidRPr="004559DA" w:rsidRDefault="00B77E78" w:rsidP="00035273">
    <w:pPr>
      <w:pStyle w:val="Footer"/>
      <w:jc w:val="right"/>
      <w:rPr>
        <w:color w:val="000000"/>
        <w:szCs w:val="22"/>
      </w:rPr>
    </w:pPr>
    <w:r w:rsidRPr="004559DA">
      <w:rPr>
        <w:rStyle w:val="PageNumber"/>
        <w:color w:val="000000"/>
        <w:szCs w:val="22"/>
      </w:rPr>
      <w:fldChar w:fldCharType="begin"/>
    </w:r>
    <w:r w:rsidR="00B26123" w:rsidRPr="004559DA">
      <w:rPr>
        <w:rStyle w:val="PageNumber"/>
        <w:color w:val="000000"/>
        <w:szCs w:val="22"/>
      </w:rPr>
      <w:instrText xml:space="preserve"> PAGE </w:instrText>
    </w:r>
    <w:r w:rsidRPr="004559DA">
      <w:rPr>
        <w:rStyle w:val="PageNumber"/>
        <w:color w:val="000000"/>
        <w:szCs w:val="22"/>
      </w:rPr>
      <w:fldChar w:fldCharType="separate"/>
    </w:r>
    <w:r w:rsidR="00CC1BDD">
      <w:rPr>
        <w:rStyle w:val="PageNumber"/>
        <w:noProof/>
        <w:color w:val="000000"/>
        <w:szCs w:val="22"/>
      </w:rPr>
      <w:t>5</w:t>
    </w:r>
    <w:r w:rsidRPr="004559DA">
      <w:rPr>
        <w:rStyle w:val="PageNumber"/>
        <w:color w:val="000000"/>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123" w:rsidRDefault="00B261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0F82" w:rsidRDefault="00F10F82">
      <w:r>
        <w:separator/>
      </w:r>
    </w:p>
  </w:footnote>
  <w:footnote w:type="continuationSeparator" w:id="1">
    <w:p w:rsidR="00F10F82" w:rsidRDefault="00F10F82">
      <w:r>
        <w:continuationSeparator/>
      </w:r>
    </w:p>
  </w:footnote>
  <w:footnote w:id="2">
    <w:p w:rsidR="002D3002" w:rsidRDefault="002D3002">
      <w:pPr>
        <w:pStyle w:val="FootnoteText"/>
      </w:pPr>
      <w:r>
        <w:rPr>
          <w:rStyle w:val="FootnoteReference"/>
        </w:rPr>
        <w:footnoteRef/>
      </w:r>
      <w:r>
        <w:t xml:space="preserve"> </w:t>
      </w:r>
      <w:r w:rsidRPr="002D3002">
        <w:t>http://stakeholders.ofcom.org.uk/consultations/award-800mhz-2.6ghz/</w:t>
      </w:r>
    </w:p>
  </w:footnote>
  <w:footnote w:id="3">
    <w:p w:rsidR="009D2D06" w:rsidRDefault="009D2D06">
      <w:pPr>
        <w:pStyle w:val="FootnoteText"/>
      </w:pPr>
      <w:r>
        <w:rPr>
          <w:rStyle w:val="FootnoteReference"/>
        </w:rPr>
        <w:footnoteRef/>
      </w:r>
      <w:r>
        <w:t xml:space="preserve"> </w:t>
      </w:r>
      <w:r w:rsidRPr="009D2D06">
        <w:t>http://stakeholders.ofcom.org.uk/consultations/combined-award/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123" w:rsidRDefault="00B77E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51.45pt;height:84.8pt;rotation:315;z-index:-251658752;mso-position-horizontal:center;mso-position-horizontal-relative:margin;mso-position-vertical:center;mso-position-vertical-relative:margin" o:allowincell="f" fillcolor="silver" stroked="f">
          <v:fill opacity=".5"/>
          <v:textpath style="font-family:&quot;Arial&quot;;font-size:1pt" string="CONFIDENTIAL"/>
          <w10:wrap anchorx="margin" anchory="margin"/>
        </v:shape>
      </w:pict>
    </w:r>
    <w:r>
      <w:fldChar w:fldCharType="begin"/>
    </w:r>
    <w:r w:rsidR="00B26123">
      <w:instrText xml:space="preserve"> DOCPROPERTY  SecHead  \* MERGEFORMAT </w:instrText>
    </w:r>
    <w:r>
      <w:fldChar w:fldCharType="separate"/>
    </w:r>
    <w:r w:rsidR="002D3002">
      <w:rPr>
        <w:b/>
        <w:bCs/>
        <w:lang w:val="en-US"/>
      </w:rPr>
      <w:t>Error! Unknown document property name.</w:t>
    </w:r>
    <w: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123" w:rsidRPr="004E606A" w:rsidRDefault="00B26123" w:rsidP="00AE75DC">
    <w:pPr>
      <w:pStyle w:val="Header"/>
    </w:pPr>
    <w:r w:rsidRPr="004E606A">
      <w:t>Page Heading</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123" w:rsidRPr="004559DA" w:rsidRDefault="00B26123" w:rsidP="005B4860">
    <w:pPr>
      <w:pStyle w:val="Header"/>
      <w:tabs>
        <w:tab w:val="clear" w:pos="8306"/>
        <w:tab w:val="right" w:pos="9057"/>
      </w:tabs>
      <w:jc w:val="right"/>
      <w:rPr>
        <w:color w:val="000000"/>
      </w:rPr>
    </w:pPr>
    <w:r w:rsidRPr="004559DA">
      <w:rPr>
        <w:color w:val="000000"/>
      </w:rPr>
      <w:t>Page Heading</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123" w:rsidRPr="00724C92" w:rsidRDefault="00B26123" w:rsidP="00724C92">
    <w:pPr>
      <w:pStyle w:val="Header"/>
      <w:jc w:val="right"/>
    </w:pPr>
    <w:r>
      <w:t>Main Heading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1298D"/>
    <w:multiLevelType w:val="multilevel"/>
    <w:tmpl w:val="9606FBA2"/>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1">
    <w:nsid w:val="0B781ACC"/>
    <w:multiLevelType w:val="multilevel"/>
    <w:tmpl w:val="9606FBA2"/>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2">
    <w:nsid w:val="109A1A25"/>
    <w:multiLevelType w:val="multilevel"/>
    <w:tmpl w:val="68924134"/>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3">
    <w:nsid w:val="111E5664"/>
    <w:multiLevelType w:val="multilevel"/>
    <w:tmpl w:val="92D436BE"/>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0"/>
        </w:tabs>
        <w:ind w:left="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4">
    <w:nsid w:val="1576036D"/>
    <w:multiLevelType w:val="multilevel"/>
    <w:tmpl w:val="9606FBA2"/>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5">
    <w:nsid w:val="16F159DC"/>
    <w:multiLevelType w:val="multilevel"/>
    <w:tmpl w:val="9606FBA2"/>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6">
    <w:nsid w:val="1A6F4867"/>
    <w:multiLevelType w:val="multilevel"/>
    <w:tmpl w:val="68924134"/>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7">
    <w:nsid w:val="1B1F250B"/>
    <w:multiLevelType w:val="multilevel"/>
    <w:tmpl w:val="9606FBA2"/>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8">
    <w:nsid w:val="1E345642"/>
    <w:multiLevelType w:val="multilevel"/>
    <w:tmpl w:val="E0E65748"/>
    <w:lvl w:ilvl="0">
      <w:start w:val="1"/>
      <w:numFmt w:val="none"/>
      <w:lvlText w:val="%1"/>
      <w:lvlJc w:val="left"/>
      <w:pPr>
        <w:tabs>
          <w:tab w:val="num" w:pos="0"/>
        </w:tabs>
        <w:ind w:left="0" w:firstLine="0"/>
      </w:pPr>
      <w:rPr>
        <w:rFonts w:hint="default"/>
      </w:rPr>
    </w:lvl>
    <w:lvl w:ilvl="1">
      <w:start w:val="1"/>
      <w:numFmt w:val="decimal"/>
      <w:lvlRestart w:val="0"/>
      <w:lvlText w:val="%1%2"/>
      <w:lvlJc w:val="left"/>
      <w:pPr>
        <w:tabs>
          <w:tab w:val="num" w:pos="0"/>
        </w:tabs>
        <w:ind w:left="0" w:hanging="720"/>
      </w:pPr>
      <w:rPr>
        <w:rFonts w:hint="default"/>
      </w:rPr>
    </w:lvl>
    <w:lvl w:ilvl="2">
      <w:start w:val="1"/>
      <w:numFmt w:val="decimal"/>
      <w:lvlRestart w:val="1"/>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1%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9">
    <w:nsid w:val="22C92B66"/>
    <w:multiLevelType w:val="multilevel"/>
    <w:tmpl w:val="9606FBA2"/>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10">
    <w:nsid w:val="29706B6F"/>
    <w:multiLevelType w:val="hybridMultilevel"/>
    <w:tmpl w:val="BA04D5FE"/>
    <w:lvl w:ilvl="0" w:tplc="56CAF50E">
      <w:start w:val="1"/>
      <w:numFmt w:val="bullet"/>
      <w:pStyle w:val="AnnexSub-bullets"/>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9074CA"/>
    <w:multiLevelType w:val="multilevel"/>
    <w:tmpl w:val="68924134"/>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12">
    <w:nsid w:val="3200678D"/>
    <w:multiLevelType w:val="hybridMultilevel"/>
    <w:tmpl w:val="65528702"/>
    <w:lvl w:ilvl="0" w:tplc="C2C6A990">
      <w:start w:val="1"/>
      <w:numFmt w:val="bullet"/>
      <w:pStyle w:val="SectionBullets"/>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3">
    <w:nsid w:val="33F508BB"/>
    <w:multiLevelType w:val="multilevel"/>
    <w:tmpl w:val="9606FBA2"/>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14">
    <w:nsid w:val="3EA63145"/>
    <w:multiLevelType w:val="multilevel"/>
    <w:tmpl w:val="2610AF68"/>
    <w:lvl w:ilvl="0">
      <w:start w:val="1"/>
      <w:numFmt w:val="none"/>
      <w:pStyle w:val="AnnexNumber"/>
      <w:lvlText w:val="%1"/>
      <w:lvlJc w:val="left"/>
      <w:pPr>
        <w:tabs>
          <w:tab w:val="num" w:pos="0"/>
        </w:tabs>
        <w:ind w:left="0" w:firstLine="0"/>
      </w:pPr>
      <w:rPr>
        <w:rFonts w:hint="default"/>
      </w:rPr>
    </w:lvl>
    <w:lvl w:ilvl="1">
      <w:start w:val="1"/>
      <w:numFmt w:val="decimal"/>
      <w:lvlRestart w:val="0"/>
      <w:pStyle w:val="AnnexLevel1"/>
      <w:lvlText w:val="%1%2"/>
      <w:lvlJc w:val="left"/>
      <w:pPr>
        <w:tabs>
          <w:tab w:val="num" w:pos="0"/>
        </w:tabs>
        <w:ind w:left="0" w:hanging="720"/>
      </w:pPr>
      <w:rPr>
        <w:rFonts w:hint="default"/>
        <w:color w:val="FFFFFF"/>
      </w:rPr>
    </w:lvl>
    <w:lvl w:ilvl="2">
      <w:start w:val="1"/>
      <w:numFmt w:val="decimal"/>
      <w:lvlRestart w:val="1"/>
      <w:pStyle w:val="AnnexLevel2"/>
      <w:lvlText w:val="%1%2.%3"/>
      <w:lvlJc w:val="left"/>
      <w:pPr>
        <w:tabs>
          <w:tab w:val="num" w:pos="0"/>
        </w:tabs>
        <w:ind w:left="720" w:hanging="720"/>
      </w:pPr>
      <w:rPr>
        <w:rFonts w:hint="default"/>
      </w:rPr>
    </w:lvl>
    <w:lvl w:ilvl="3">
      <w:start w:val="1"/>
      <w:numFmt w:val="none"/>
      <w:lvlRestart w:val="0"/>
      <w:pStyle w:val="AnnexBodyText"/>
      <w:lvlText w:val="%1"/>
      <w:lvlJc w:val="left"/>
      <w:pPr>
        <w:tabs>
          <w:tab w:val="num" w:pos="0"/>
        </w:tabs>
        <w:ind w:left="0" w:firstLine="0"/>
      </w:pPr>
      <w:rPr>
        <w:rFonts w:hint="default"/>
      </w:rPr>
    </w:lvl>
    <w:lvl w:ilvl="4">
      <w:start w:val="1"/>
      <w:numFmt w:val="lowerLetter"/>
      <w:pStyle w:val="Annexabullets"/>
      <w:lvlText w:val="%1%5)"/>
      <w:lvlJc w:val="left"/>
      <w:pPr>
        <w:tabs>
          <w:tab w:val="num" w:pos="720"/>
        </w:tabs>
        <w:ind w:left="720" w:hanging="720"/>
      </w:pPr>
      <w:rPr>
        <w:rFonts w:hint="default"/>
      </w:rPr>
    </w:lvl>
    <w:lvl w:ilvl="5">
      <w:start w:val="1"/>
      <w:numFmt w:val="lowerRoman"/>
      <w:lvlRestart w:val="4"/>
      <w:pStyle w:val="Annexibullets"/>
      <w:lvlText w:val="%1%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15">
    <w:nsid w:val="4B274F2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4CAA5A22"/>
    <w:multiLevelType w:val="multilevel"/>
    <w:tmpl w:val="9606FBA2"/>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17">
    <w:nsid w:val="4E7240B5"/>
    <w:multiLevelType w:val="multilevel"/>
    <w:tmpl w:val="2610AF68"/>
    <w:lvl w:ilvl="0">
      <w:start w:val="1"/>
      <w:numFmt w:val="none"/>
      <w:lvlText w:val="%1"/>
      <w:lvlJc w:val="left"/>
      <w:pPr>
        <w:tabs>
          <w:tab w:val="num" w:pos="0"/>
        </w:tabs>
        <w:ind w:left="0" w:firstLine="0"/>
      </w:pPr>
      <w:rPr>
        <w:rFonts w:hint="default"/>
      </w:rPr>
    </w:lvl>
    <w:lvl w:ilvl="1">
      <w:start w:val="1"/>
      <w:numFmt w:val="decimal"/>
      <w:lvlRestart w:val="0"/>
      <w:lvlText w:val="%1%2"/>
      <w:lvlJc w:val="left"/>
      <w:pPr>
        <w:tabs>
          <w:tab w:val="num" w:pos="0"/>
        </w:tabs>
        <w:ind w:left="0" w:hanging="720"/>
      </w:pPr>
      <w:rPr>
        <w:rFonts w:hint="default"/>
        <w:color w:val="FFFFFF"/>
      </w:rPr>
    </w:lvl>
    <w:lvl w:ilvl="2">
      <w:start w:val="1"/>
      <w:numFmt w:val="decimal"/>
      <w:lvlRestart w:val="1"/>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1%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18">
    <w:nsid w:val="4F6F196C"/>
    <w:multiLevelType w:val="multilevel"/>
    <w:tmpl w:val="3C7CCBE8"/>
    <w:lvl w:ilvl="0">
      <w:start w:val="1"/>
      <w:numFmt w:val="none"/>
      <w:lvlText w:val="%1"/>
      <w:lvlJc w:val="left"/>
      <w:pPr>
        <w:tabs>
          <w:tab w:val="num" w:pos="0"/>
        </w:tabs>
        <w:ind w:left="0" w:firstLine="0"/>
      </w:pPr>
      <w:rPr>
        <w:rFonts w:hint="default"/>
      </w:rPr>
    </w:lvl>
    <w:lvl w:ilvl="1">
      <w:start w:val="1"/>
      <w:numFmt w:val="decimal"/>
      <w:lvlRestart w:val="0"/>
      <w:lvlText w:val="%1%2"/>
      <w:lvlJc w:val="left"/>
      <w:pPr>
        <w:tabs>
          <w:tab w:val="num" w:pos="0"/>
        </w:tabs>
        <w:ind w:left="0" w:hanging="720"/>
      </w:pPr>
      <w:rPr>
        <w:rFonts w:hint="default"/>
        <w:color w:val="FFFFFF"/>
      </w:rPr>
    </w:lvl>
    <w:lvl w:ilvl="2">
      <w:start w:val="1"/>
      <w:numFmt w:val="decimal"/>
      <w:lvlRestart w:val="1"/>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1%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19">
    <w:nsid w:val="58742327"/>
    <w:multiLevelType w:val="multilevel"/>
    <w:tmpl w:val="9606FBA2"/>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20">
    <w:nsid w:val="58A86784"/>
    <w:multiLevelType w:val="multilevel"/>
    <w:tmpl w:val="EDB4A226"/>
    <w:lvl w:ilvl="0">
      <w:start w:val="1"/>
      <w:numFmt w:val="none"/>
      <w:lvlText w:val=""/>
      <w:lvlJc w:val="left"/>
      <w:pPr>
        <w:tabs>
          <w:tab w:val="num" w:pos="0"/>
        </w:tabs>
        <w:ind w:left="0" w:firstLine="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1">
    <w:nsid w:val="5DE84BBB"/>
    <w:multiLevelType w:val="hybridMultilevel"/>
    <w:tmpl w:val="39AC0146"/>
    <w:lvl w:ilvl="0" w:tplc="F1A2838C">
      <w:start w:val="1"/>
      <w:numFmt w:val="bullet"/>
      <w:pStyle w:val="SectionSub-bullets"/>
      <w:lvlText w:val="o"/>
      <w:lvlJc w:val="left"/>
      <w:pPr>
        <w:tabs>
          <w:tab w:val="num" w:pos="1080"/>
        </w:tabs>
        <w:ind w:left="108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5E036743"/>
    <w:multiLevelType w:val="multilevel"/>
    <w:tmpl w:val="3C7CCBE8"/>
    <w:lvl w:ilvl="0">
      <w:start w:val="1"/>
      <w:numFmt w:val="none"/>
      <w:lvlText w:val="%1"/>
      <w:lvlJc w:val="left"/>
      <w:pPr>
        <w:tabs>
          <w:tab w:val="num" w:pos="0"/>
        </w:tabs>
        <w:ind w:left="0" w:firstLine="0"/>
      </w:pPr>
      <w:rPr>
        <w:rFonts w:hint="default"/>
      </w:rPr>
    </w:lvl>
    <w:lvl w:ilvl="1">
      <w:start w:val="1"/>
      <w:numFmt w:val="decimal"/>
      <w:lvlRestart w:val="0"/>
      <w:lvlText w:val="%1%2"/>
      <w:lvlJc w:val="left"/>
      <w:pPr>
        <w:tabs>
          <w:tab w:val="num" w:pos="0"/>
        </w:tabs>
        <w:ind w:left="0" w:hanging="720"/>
      </w:pPr>
      <w:rPr>
        <w:rFonts w:hint="default"/>
        <w:color w:val="FFFFFF"/>
      </w:rPr>
    </w:lvl>
    <w:lvl w:ilvl="2">
      <w:start w:val="1"/>
      <w:numFmt w:val="decimal"/>
      <w:lvlRestart w:val="1"/>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1%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23">
    <w:nsid w:val="5F4D6572"/>
    <w:multiLevelType w:val="multilevel"/>
    <w:tmpl w:val="9606FBA2"/>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24">
    <w:nsid w:val="60863740"/>
    <w:multiLevelType w:val="multilevel"/>
    <w:tmpl w:val="9606FBA2"/>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25">
    <w:nsid w:val="64B00617"/>
    <w:multiLevelType w:val="hybridMultilevel"/>
    <w:tmpl w:val="D6A88948"/>
    <w:lvl w:ilvl="0" w:tplc="6D3AE81A">
      <w:start w:val="1"/>
      <w:numFmt w:val="bullet"/>
      <w:pStyle w:val="Annex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8902F9A"/>
    <w:multiLevelType w:val="multilevel"/>
    <w:tmpl w:val="3C7CCBE8"/>
    <w:lvl w:ilvl="0">
      <w:start w:val="1"/>
      <w:numFmt w:val="none"/>
      <w:lvlText w:val="%1"/>
      <w:lvlJc w:val="left"/>
      <w:pPr>
        <w:tabs>
          <w:tab w:val="num" w:pos="0"/>
        </w:tabs>
        <w:ind w:left="0" w:firstLine="0"/>
      </w:pPr>
      <w:rPr>
        <w:rFonts w:hint="default"/>
      </w:rPr>
    </w:lvl>
    <w:lvl w:ilvl="1">
      <w:start w:val="1"/>
      <w:numFmt w:val="decimal"/>
      <w:lvlRestart w:val="0"/>
      <w:lvlText w:val="%1%2"/>
      <w:lvlJc w:val="left"/>
      <w:pPr>
        <w:tabs>
          <w:tab w:val="num" w:pos="0"/>
        </w:tabs>
        <w:ind w:left="0" w:hanging="720"/>
      </w:pPr>
      <w:rPr>
        <w:rFonts w:hint="default"/>
        <w:color w:val="FFFFFF"/>
      </w:rPr>
    </w:lvl>
    <w:lvl w:ilvl="2">
      <w:start w:val="1"/>
      <w:numFmt w:val="decimal"/>
      <w:lvlRestart w:val="1"/>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1%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27">
    <w:nsid w:val="69386117"/>
    <w:multiLevelType w:val="multilevel"/>
    <w:tmpl w:val="9526798E"/>
    <w:lvl w:ilvl="0">
      <w:start w:val="1"/>
      <w:numFmt w:val="none"/>
      <w:pStyle w:val="SectionNumber"/>
      <w:lvlText w:val=""/>
      <w:lvlJc w:val="left"/>
      <w:pPr>
        <w:tabs>
          <w:tab w:val="num" w:pos="0"/>
        </w:tabs>
        <w:ind w:left="0" w:firstLine="0"/>
      </w:pPr>
      <w:rPr>
        <w:rFonts w:hint="default"/>
      </w:rPr>
    </w:lvl>
    <w:lvl w:ilvl="1">
      <w:start w:val="1"/>
      <w:numFmt w:val="decimal"/>
      <w:lvlRestart w:val="0"/>
      <w:pStyle w:val="SectionLevel1"/>
      <w:lvlText w:val="%1%2"/>
      <w:lvlJc w:val="left"/>
      <w:pPr>
        <w:tabs>
          <w:tab w:val="num" w:pos="0"/>
        </w:tabs>
        <w:ind w:left="0" w:hanging="720"/>
      </w:pPr>
      <w:rPr>
        <w:rFonts w:hint="default"/>
        <w:color w:val="FFFFFF"/>
      </w:rPr>
    </w:lvl>
    <w:lvl w:ilvl="2">
      <w:start w:val="1"/>
      <w:numFmt w:val="decimal"/>
      <w:pStyle w:val="SectionLevel2"/>
      <w:lvlText w:val="%1%2.%3"/>
      <w:lvlJc w:val="left"/>
      <w:pPr>
        <w:tabs>
          <w:tab w:val="num" w:pos="0"/>
        </w:tabs>
        <w:ind w:left="720" w:hanging="720"/>
      </w:pPr>
      <w:rPr>
        <w:rFonts w:hint="default"/>
      </w:rPr>
    </w:lvl>
    <w:lvl w:ilvl="3">
      <w:start w:val="1"/>
      <w:numFmt w:val="none"/>
      <w:lvlRestart w:val="0"/>
      <w:pStyle w:val="SectionBodyText"/>
      <w:lvlText w:val="%1"/>
      <w:lvlJc w:val="left"/>
      <w:pPr>
        <w:tabs>
          <w:tab w:val="num" w:pos="0"/>
        </w:tabs>
        <w:ind w:left="0" w:firstLine="0"/>
      </w:pPr>
      <w:rPr>
        <w:rFonts w:hint="default"/>
      </w:rPr>
    </w:lvl>
    <w:lvl w:ilvl="4">
      <w:start w:val="1"/>
      <w:numFmt w:val="lowerLetter"/>
      <w:pStyle w:val="Sectionabullets"/>
      <w:lvlText w:val="%1%5)"/>
      <w:lvlJc w:val="left"/>
      <w:pPr>
        <w:tabs>
          <w:tab w:val="num" w:pos="720"/>
        </w:tabs>
        <w:ind w:left="720" w:hanging="720"/>
      </w:pPr>
      <w:rPr>
        <w:rFonts w:hint="default"/>
      </w:rPr>
    </w:lvl>
    <w:lvl w:ilvl="5">
      <w:start w:val="1"/>
      <w:numFmt w:val="lowerRoman"/>
      <w:lvlRestart w:val="4"/>
      <w:pStyle w:val="Sectionibullets"/>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28">
    <w:nsid w:val="73171351"/>
    <w:multiLevelType w:val="multilevel"/>
    <w:tmpl w:val="4E882A54"/>
    <w:lvl w:ilvl="0">
      <w:start w:val="1"/>
      <w:numFmt w:val="none"/>
      <w:lvlText w:val="%1"/>
      <w:lvlJc w:val="left"/>
      <w:pPr>
        <w:tabs>
          <w:tab w:val="num" w:pos="0"/>
        </w:tabs>
        <w:ind w:left="0" w:firstLine="0"/>
      </w:pPr>
      <w:rPr>
        <w:rFonts w:hint="default"/>
      </w:rPr>
    </w:lvl>
    <w:lvl w:ilvl="1">
      <w:start w:val="1"/>
      <w:numFmt w:val="decimal"/>
      <w:lvlRestart w:val="0"/>
      <w:lvlText w:val="%1%2"/>
      <w:lvlJc w:val="left"/>
      <w:pPr>
        <w:tabs>
          <w:tab w:val="num" w:pos="0"/>
        </w:tabs>
        <w:ind w:left="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1%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29">
    <w:nsid w:val="73F25630"/>
    <w:multiLevelType w:val="multilevel"/>
    <w:tmpl w:val="9606FBA2"/>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30">
    <w:nsid w:val="7E14217F"/>
    <w:multiLevelType w:val="multilevel"/>
    <w:tmpl w:val="68924134"/>
    <w:lvl w:ilvl="0">
      <w:start w:val="1"/>
      <w:numFmt w:val="none"/>
      <w:lvlText w:val=""/>
      <w:lvlJc w:val="left"/>
      <w:pPr>
        <w:tabs>
          <w:tab w:val="num" w:pos="0"/>
        </w:tabs>
        <w:ind w:left="0" w:firstLine="0"/>
      </w:pPr>
      <w:rPr>
        <w:rFonts w:hint="default"/>
      </w:rPr>
    </w:lvl>
    <w:lvl w:ilvl="1">
      <w:start w:val="1"/>
      <w:numFmt w:val="decimal"/>
      <w:lvlRestart w:val="0"/>
      <w:lvlText w:val="%1%2"/>
      <w:lvlJc w:val="left"/>
      <w:pPr>
        <w:tabs>
          <w:tab w:val="num" w:pos="720"/>
        </w:tabs>
        <w:ind w:left="720" w:hanging="720"/>
      </w:pPr>
      <w:rPr>
        <w:rFonts w:hint="default"/>
        <w:color w:val="FFFFFF"/>
      </w:rPr>
    </w:lvl>
    <w:lvl w:ilvl="2">
      <w:start w:val="1"/>
      <w:numFmt w:val="decimal"/>
      <w:lvlText w:val="%1%2.%3"/>
      <w:lvlJc w:val="left"/>
      <w:pPr>
        <w:tabs>
          <w:tab w:val="num" w:pos="0"/>
        </w:tabs>
        <w:ind w:left="720" w:hanging="720"/>
      </w:pPr>
      <w:rPr>
        <w:rFonts w:hint="default"/>
      </w:rPr>
    </w:lvl>
    <w:lvl w:ilvl="3">
      <w:start w:val="1"/>
      <w:numFmt w:val="none"/>
      <w:lvlRestart w:val="0"/>
      <w:lvlText w:val="%1"/>
      <w:lvlJc w:val="left"/>
      <w:pPr>
        <w:tabs>
          <w:tab w:val="num" w:pos="0"/>
        </w:tabs>
        <w:ind w:left="0" w:firstLine="0"/>
      </w:pPr>
      <w:rPr>
        <w:rFonts w:hint="default"/>
      </w:rPr>
    </w:lvl>
    <w:lvl w:ilvl="4">
      <w:start w:val="1"/>
      <w:numFmt w:val="lowerLetter"/>
      <w:lvlText w:val="%1%5)"/>
      <w:lvlJc w:val="left"/>
      <w:pPr>
        <w:tabs>
          <w:tab w:val="num" w:pos="720"/>
        </w:tabs>
        <w:ind w:left="720" w:hanging="720"/>
      </w:pPr>
      <w:rPr>
        <w:rFonts w:hint="default"/>
      </w:rPr>
    </w:lvl>
    <w:lvl w:ilvl="5">
      <w:start w:val="1"/>
      <w:numFmt w:val="lowerRoman"/>
      <w:lvlRestart w:val="4"/>
      <w:lvlText w:val="%6)"/>
      <w:lvlJc w:val="left"/>
      <w:pPr>
        <w:tabs>
          <w:tab w:val="num" w:pos="720"/>
        </w:tabs>
        <w:ind w:left="720" w:hanging="720"/>
      </w:pPr>
      <w:rPr>
        <w:rFonts w:hint="default"/>
      </w:rPr>
    </w:lvl>
    <w:lvl w:ilvl="6">
      <w:start w:val="1"/>
      <w:numFmt w:val="none"/>
      <w:lvlRestart w:val="0"/>
      <w:lvlText w:val="%1"/>
      <w:lvlJc w:val="left"/>
      <w:pPr>
        <w:tabs>
          <w:tab w:val="num" w:pos="0"/>
        </w:tabs>
        <w:ind w:left="0" w:firstLine="0"/>
      </w:pPr>
      <w:rPr>
        <w:rFonts w:hint="default"/>
      </w:rPr>
    </w:lvl>
    <w:lvl w:ilvl="7">
      <w:start w:val="1"/>
      <w:numFmt w:val="none"/>
      <w:lvlRestart w:val="0"/>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num w:numId="1">
    <w:abstractNumId w:val="25"/>
  </w:num>
  <w:num w:numId="2">
    <w:abstractNumId w:val="10"/>
  </w:num>
  <w:num w:numId="3">
    <w:abstractNumId w:val="12"/>
  </w:num>
  <w:num w:numId="4">
    <w:abstractNumId w:val="21"/>
  </w:num>
  <w:num w:numId="5">
    <w:abstractNumId w:val="28"/>
  </w:num>
  <w:num w:numId="6">
    <w:abstractNumId w:val="3"/>
  </w:num>
  <w:num w:numId="7">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4"/>
  </w:num>
  <w:num w:numId="10">
    <w:abstractNumId w:val="24"/>
  </w:num>
  <w:num w:numId="11">
    <w:abstractNumId w:val="13"/>
  </w:num>
  <w:num w:numId="12">
    <w:abstractNumId w:val="23"/>
  </w:num>
  <w:num w:numId="13">
    <w:abstractNumId w:val="5"/>
  </w:num>
  <w:num w:numId="14">
    <w:abstractNumId w:val="20"/>
  </w:num>
  <w:num w:numId="15">
    <w:abstractNumId w:val="1"/>
  </w:num>
  <w:num w:numId="16">
    <w:abstractNumId w:val="7"/>
  </w:num>
  <w:num w:numId="17">
    <w:abstractNumId w:val="16"/>
  </w:num>
  <w:num w:numId="18">
    <w:abstractNumId w:val="0"/>
  </w:num>
  <w:num w:numId="19">
    <w:abstractNumId w:val="9"/>
  </w:num>
  <w:num w:numId="20">
    <w:abstractNumId w:val="14"/>
  </w:num>
  <w:num w:numId="21">
    <w:abstractNumId w:val="8"/>
  </w:num>
  <w:num w:numId="22">
    <w:abstractNumId w:val="29"/>
  </w:num>
  <w:num w:numId="23">
    <w:abstractNumId w:val="3"/>
    <w:lvlOverride w:ilvl="0">
      <w:startOverride w:val="9"/>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2"/>
  </w:num>
  <w:num w:numId="26">
    <w:abstractNumId w:val="26"/>
  </w:num>
  <w:num w:numId="27">
    <w:abstractNumId w:val="30"/>
  </w:num>
  <w:num w:numId="28">
    <w:abstractNumId w:val="2"/>
  </w:num>
  <w:num w:numId="29">
    <w:abstractNumId w:val="11"/>
  </w:num>
  <w:num w:numId="30">
    <w:abstractNumId w:val="18"/>
  </w:num>
  <w:num w:numId="31">
    <w:abstractNumId w:val="17"/>
  </w:num>
  <w:num w:numId="32">
    <w:abstractNumId w:val="15"/>
  </w:num>
  <w:num w:numId="33">
    <w:abstractNumId w:val="2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001"/>
  <w:defaultTabStop w:val="799"/>
  <w:evenAndOddHeaders/>
  <w:drawingGridHorizontalSpacing w:val="187"/>
  <w:displayVerticalDrawingGridEvery w:val="2"/>
  <w:noPunctuationKerning/>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CB149E"/>
    <w:rsid w:val="00035273"/>
    <w:rsid w:val="0003764A"/>
    <w:rsid w:val="000377E9"/>
    <w:rsid w:val="00040FA0"/>
    <w:rsid w:val="00042498"/>
    <w:rsid w:val="00046B1E"/>
    <w:rsid w:val="00076A36"/>
    <w:rsid w:val="00084A3A"/>
    <w:rsid w:val="00097339"/>
    <w:rsid w:val="000A0064"/>
    <w:rsid w:val="000C6828"/>
    <w:rsid w:val="000D464A"/>
    <w:rsid w:val="000D5088"/>
    <w:rsid w:val="000E0430"/>
    <w:rsid w:val="000F0C52"/>
    <w:rsid w:val="00102702"/>
    <w:rsid w:val="00106384"/>
    <w:rsid w:val="00145503"/>
    <w:rsid w:val="00146B4D"/>
    <w:rsid w:val="00156556"/>
    <w:rsid w:val="00161D7D"/>
    <w:rsid w:val="0016275E"/>
    <w:rsid w:val="00170AE5"/>
    <w:rsid w:val="0017748E"/>
    <w:rsid w:val="001933E2"/>
    <w:rsid w:val="001A732F"/>
    <w:rsid w:val="001C6347"/>
    <w:rsid w:val="001D0B4B"/>
    <w:rsid w:val="001D257B"/>
    <w:rsid w:val="001E16EA"/>
    <w:rsid w:val="001F2791"/>
    <w:rsid w:val="001F2D35"/>
    <w:rsid w:val="001F7325"/>
    <w:rsid w:val="001F7973"/>
    <w:rsid w:val="00222259"/>
    <w:rsid w:val="00224185"/>
    <w:rsid w:val="0022592F"/>
    <w:rsid w:val="00230ABB"/>
    <w:rsid w:val="002511A8"/>
    <w:rsid w:val="00252127"/>
    <w:rsid w:val="00266189"/>
    <w:rsid w:val="002804D4"/>
    <w:rsid w:val="002A7CE2"/>
    <w:rsid w:val="002B09B4"/>
    <w:rsid w:val="002C63E7"/>
    <w:rsid w:val="002D3002"/>
    <w:rsid w:val="00300DAE"/>
    <w:rsid w:val="003157F2"/>
    <w:rsid w:val="0032514A"/>
    <w:rsid w:val="0035023A"/>
    <w:rsid w:val="00354CFF"/>
    <w:rsid w:val="00360FE3"/>
    <w:rsid w:val="00372EAD"/>
    <w:rsid w:val="00381F42"/>
    <w:rsid w:val="003A51DD"/>
    <w:rsid w:val="003B341C"/>
    <w:rsid w:val="003C73F8"/>
    <w:rsid w:val="003F3831"/>
    <w:rsid w:val="003F3D10"/>
    <w:rsid w:val="00403F89"/>
    <w:rsid w:val="00404FD1"/>
    <w:rsid w:val="00417BAA"/>
    <w:rsid w:val="00424E30"/>
    <w:rsid w:val="004344C9"/>
    <w:rsid w:val="004447E0"/>
    <w:rsid w:val="004531B5"/>
    <w:rsid w:val="004559DA"/>
    <w:rsid w:val="0046193E"/>
    <w:rsid w:val="00465E83"/>
    <w:rsid w:val="00471CA7"/>
    <w:rsid w:val="00474F44"/>
    <w:rsid w:val="004949AA"/>
    <w:rsid w:val="004A00D5"/>
    <w:rsid w:val="004B6A61"/>
    <w:rsid w:val="004D2EDC"/>
    <w:rsid w:val="004D6293"/>
    <w:rsid w:val="004E0D4A"/>
    <w:rsid w:val="004E43C6"/>
    <w:rsid w:val="004E606A"/>
    <w:rsid w:val="004F4870"/>
    <w:rsid w:val="00503DBF"/>
    <w:rsid w:val="005114D7"/>
    <w:rsid w:val="005147F8"/>
    <w:rsid w:val="00522E12"/>
    <w:rsid w:val="00537117"/>
    <w:rsid w:val="005459E1"/>
    <w:rsid w:val="005543B0"/>
    <w:rsid w:val="005567D3"/>
    <w:rsid w:val="00564F1F"/>
    <w:rsid w:val="00591626"/>
    <w:rsid w:val="00593339"/>
    <w:rsid w:val="0059746C"/>
    <w:rsid w:val="005A269F"/>
    <w:rsid w:val="005B4860"/>
    <w:rsid w:val="005B4E61"/>
    <w:rsid w:val="005B58B4"/>
    <w:rsid w:val="005C627F"/>
    <w:rsid w:val="005D0580"/>
    <w:rsid w:val="005D388C"/>
    <w:rsid w:val="005E580E"/>
    <w:rsid w:val="005E720B"/>
    <w:rsid w:val="005F33CC"/>
    <w:rsid w:val="005F636C"/>
    <w:rsid w:val="005F7B40"/>
    <w:rsid w:val="006119BD"/>
    <w:rsid w:val="00615ADC"/>
    <w:rsid w:val="00621D1B"/>
    <w:rsid w:val="00630856"/>
    <w:rsid w:val="00641B25"/>
    <w:rsid w:val="00645FAB"/>
    <w:rsid w:val="00646B2F"/>
    <w:rsid w:val="00661616"/>
    <w:rsid w:val="00671BC3"/>
    <w:rsid w:val="00677FFC"/>
    <w:rsid w:val="00691117"/>
    <w:rsid w:val="006969B8"/>
    <w:rsid w:val="006A377A"/>
    <w:rsid w:val="006B1873"/>
    <w:rsid w:val="006B29B2"/>
    <w:rsid w:val="006D1A0E"/>
    <w:rsid w:val="006F5D24"/>
    <w:rsid w:val="007104CC"/>
    <w:rsid w:val="00714505"/>
    <w:rsid w:val="007158F2"/>
    <w:rsid w:val="007238A9"/>
    <w:rsid w:val="00724C92"/>
    <w:rsid w:val="00724CE3"/>
    <w:rsid w:val="00742E62"/>
    <w:rsid w:val="007477CC"/>
    <w:rsid w:val="00756D6A"/>
    <w:rsid w:val="00761F45"/>
    <w:rsid w:val="007709D0"/>
    <w:rsid w:val="00775DEF"/>
    <w:rsid w:val="00777C40"/>
    <w:rsid w:val="007A3A0A"/>
    <w:rsid w:val="007A521B"/>
    <w:rsid w:val="007A5D9F"/>
    <w:rsid w:val="007B5E5B"/>
    <w:rsid w:val="007C7BD0"/>
    <w:rsid w:val="0081060E"/>
    <w:rsid w:val="00816C5D"/>
    <w:rsid w:val="00821801"/>
    <w:rsid w:val="008238F1"/>
    <w:rsid w:val="008272B2"/>
    <w:rsid w:val="008448B5"/>
    <w:rsid w:val="00853C36"/>
    <w:rsid w:val="0086188A"/>
    <w:rsid w:val="00877F75"/>
    <w:rsid w:val="00881FD3"/>
    <w:rsid w:val="00882080"/>
    <w:rsid w:val="008975DF"/>
    <w:rsid w:val="008A5EBB"/>
    <w:rsid w:val="008C0BA4"/>
    <w:rsid w:val="008C25F8"/>
    <w:rsid w:val="008C3114"/>
    <w:rsid w:val="008D44CE"/>
    <w:rsid w:val="008E7574"/>
    <w:rsid w:val="00900E0F"/>
    <w:rsid w:val="00923C84"/>
    <w:rsid w:val="0093147C"/>
    <w:rsid w:val="00943C19"/>
    <w:rsid w:val="00943C71"/>
    <w:rsid w:val="00954DD3"/>
    <w:rsid w:val="00974353"/>
    <w:rsid w:val="009944DA"/>
    <w:rsid w:val="009B37A5"/>
    <w:rsid w:val="009D2D06"/>
    <w:rsid w:val="009E2F13"/>
    <w:rsid w:val="009E77E8"/>
    <w:rsid w:val="009F287E"/>
    <w:rsid w:val="009F3E34"/>
    <w:rsid w:val="00A02AA5"/>
    <w:rsid w:val="00A0668E"/>
    <w:rsid w:val="00A12A0B"/>
    <w:rsid w:val="00A142D4"/>
    <w:rsid w:val="00A265DF"/>
    <w:rsid w:val="00A304A1"/>
    <w:rsid w:val="00A366A8"/>
    <w:rsid w:val="00A528D2"/>
    <w:rsid w:val="00A63218"/>
    <w:rsid w:val="00A63E03"/>
    <w:rsid w:val="00A82A1F"/>
    <w:rsid w:val="00A833F9"/>
    <w:rsid w:val="00A941AE"/>
    <w:rsid w:val="00AB0A3B"/>
    <w:rsid w:val="00AB6400"/>
    <w:rsid w:val="00AD2BB4"/>
    <w:rsid w:val="00AD60E9"/>
    <w:rsid w:val="00AE0097"/>
    <w:rsid w:val="00AE75DC"/>
    <w:rsid w:val="00AF0D9A"/>
    <w:rsid w:val="00AF1F97"/>
    <w:rsid w:val="00AF4714"/>
    <w:rsid w:val="00B00B9E"/>
    <w:rsid w:val="00B01C12"/>
    <w:rsid w:val="00B0311F"/>
    <w:rsid w:val="00B04C48"/>
    <w:rsid w:val="00B1624A"/>
    <w:rsid w:val="00B26123"/>
    <w:rsid w:val="00B51417"/>
    <w:rsid w:val="00B616F7"/>
    <w:rsid w:val="00B67F29"/>
    <w:rsid w:val="00B70662"/>
    <w:rsid w:val="00B710D3"/>
    <w:rsid w:val="00B742D8"/>
    <w:rsid w:val="00B77E78"/>
    <w:rsid w:val="00B82054"/>
    <w:rsid w:val="00B83512"/>
    <w:rsid w:val="00B9087D"/>
    <w:rsid w:val="00B969C2"/>
    <w:rsid w:val="00BA17FD"/>
    <w:rsid w:val="00BC51D9"/>
    <w:rsid w:val="00BC67DB"/>
    <w:rsid w:val="00BC6841"/>
    <w:rsid w:val="00BE1DB8"/>
    <w:rsid w:val="00BF091A"/>
    <w:rsid w:val="00BF263B"/>
    <w:rsid w:val="00C01DE8"/>
    <w:rsid w:val="00C145E9"/>
    <w:rsid w:val="00C27D75"/>
    <w:rsid w:val="00C31F92"/>
    <w:rsid w:val="00C51562"/>
    <w:rsid w:val="00C56A99"/>
    <w:rsid w:val="00C57EFD"/>
    <w:rsid w:val="00C6433E"/>
    <w:rsid w:val="00C7023B"/>
    <w:rsid w:val="00C7218B"/>
    <w:rsid w:val="00C755E4"/>
    <w:rsid w:val="00C87DEB"/>
    <w:rsid w:val="00C933B8"/>
    <w:rsid w:val="00C94978"/>
    <w:rsid w:val="00CA1972"/>
    <w:rsid w:val="00CA2E19"/>
    <w:rsid w:val="00CB149E"/>
    <w:rsid w:val="00CC04BF"/>
    <w:rsid w:val="00CC1BDD"/>
    <w:rsid w:val="00CC4A1C"/>
    <w:rsid w:val="00CC5181"/>
    <w:rsid w:val="00CC63BA"/>
    <w:rsid w:val="00CD2745"/>
    <w:rsid w:val="00CD5F3E"/>
    <w:rsid w:val="00D2138F"/>
    <w:rsid w:val="00D25924"/>
    <w:rsid w:val="00D32361"/>
    <w:rsid w:val="00D332B6"/>
    <w:rsid w:val="00D36CEA"/>
    <w:rsid w:val="00D40080"/>
    <w:rsid w:val="00D401D5"/>
    <w:rsid w:val="00D75D16"/>
    <w:rsid w:val="00D77AC5"/>
    <w:rsid w:val="00D9665D"/>
    <w:rsid w:val="00DA6076"/>
    <w:rsid w:val="00DB6AF9"/>
    <w:rsid w:val="00DE239A"/>
    <w:rsid w:val="00DE46BE"/>
    <w:rsid w:val="00DF20C6"/>
    <w:rsid w:val="00E10F86"/>
    <w:rsid w:val="00E21B69"/>
    <w:rsid w:val="00E34A28"/>
    <w:rsid w:val="00E57515"/>
    <w:rsid w:val="00E72BBB"/>
    <w:rsid w:val="00E93D15"/>
    <w:rsid w:val="00E9413A"/>
    <w:rsid w:val="00E94810"/>
    <w:rsid w:val="00EA7E95"/>
    <w:rsid w:val="00EB3022"/>
    <w:rsid w:val="00ED41C4"/>
    <w:rsid w:val="00ED7836"/>
    <w:rsid w:val="00ED7FB7"/>
    <w:rsid w:val="00EF2A04"/>
    <w:rsid w:val="00EF529C"/>
    <w:rsid w:val="00EF6A06"/>
    <w:rsid w:val="00F10F82"/>
    <w:rsid w:val="00F11EBC"/>
    <w:rsid w:val="00F43124"/>
    <w:rsid w:val="00F450C9"/>
    <w:rsid w:val="00F70E4F"/>
    <w:rsid w:val="00F7105D"/>
    <w:rsid w:val="00F721F7"/>
    <w:rsid w:val="00F802BE"/>
    <w:rsid w:val="00F8418F"/>
    <w:rsid w:val="00F86543"/>
    <w:rsid w:val="00F9304F"/>
    <w:rsid w:val="00FB5481"/>
    <w:rsid w:val="00FB5926"/>
    <w:rsid w:val="00FC1083"/>
    <w:rsid w:val="00FC1786"/>
    <w:rsid w:val="00FC1987"/>
    <w:rsid w:val="00FC1BBA"/>
    <w:rsid w:val="00FC532A"/>
    <w:rsid w:val="00FF1BE1"/>
    <w:rsid w:val="00FF3E3B"/>
    <w:rsid w:val="00FF572C"/>
    <w:rsid w:val="00FF7A7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Hyperlink"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39"/>
  </w:latentStyles>
  <w:style w:type="paragraph" w:default="1" w:styleId="Normal">
    <w:name w:val="Normal"/>
    <w:rsid w:val="00372EAD"/>
    <w:rPr>
      <w:rFonts w:ascii="Arial" w:hAnsi="Arial"/>
      <w:sz w:val="22"/>
      <w:szCs w:val="24"/>
      <w:lang w:eastAsia="en-US"/>
    </w:rPr>
  </w:style>
  <w:style w:type="paragraph" w:styleId="Heading1">
    <w:name w:val="heading 1"/>
    <w:basedOn w:val="Normal"/>
    <w:next w:val="Normal"/>
    <w:rsid w:val="00B0311F"/>
    <w:pPr>
      <w:keepNext/>
      <w:spacing w:before="240" w:after="60"/>
      <w:outlineLvl w:val="0"/>
    </w:pPr>
    <w:rPr>
      <w:rFonts w:cs="Arial"/>
      <w:b/>
      <w:bCs/>
      <w:kern w:val="32"/>
      <w:sz w:val="32"/>
      <w:szCs w:val="32"/>
    </w:rPr>
  </w:style>
  <w:style w:type="paragraph" w:styleId="Heading2">
    <w:name w:val="heading 2"/>
    <w:basedOn w:val="Normal"/>
    <w:next w:val="Normal"/>
    <w:rsid w:val="00B0311F"/>
    <w:pPr>
      <w:keepNext/>
      <w:spacing w:before="240" w:after="60"/>
      <w:outlineLvl w:val="1"/>
    </w:pPr>
    <w:rPr>
      <w:rFonts w:cs="Arial"/>
      <w:b/>
      <w:bCs/>
      <w:i/>
      <w:iCs/>
      <w:sz w:val="28"/>
      <w:szCs w:val="28"/>
    </w:rPr>
  </w:style>
  <w:style w:type="paragraph" w:styleId="Heading3">
    <w:name w:val="heading 3"/>
    <w:basedOn w:val="Normal"/>
    <w:next w:val="Normal"/>
    <w:rsid w:val="00B0311F"/>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fcomMainHeading">
    <w:name w:val="Ofcom Main Heading"/>
    <w:rsid w:val="0016275E"/>
    <w:pPr>
      <w:ind w:left="1440" w:firstLine="720"/>
      <w:jc w:val="right"/>
    </w:pPr>
    <w:rPr>
      <w:rFonts w:ascii="Arial" w:hAnsi="Arial"/>
      <w:color w:val="CC0033"/>
      <w:sz w:val="48"/>
      <w:szCs w:val="48"/>
      <w:lang w:eastAsia="en-US"/>
    </w:rPr>
  </w:style>
  <w:style w:type="paragraph" w:customStyle="1" w:styleId="OfcomSubheading">
    <w:name w:val="Ofcom Subheading"/>
    <w:rsid w:val="00D75D16"/>
    <w:pPr>
      <w:ind w:left="1440" w:firstLine="720"/>
      <w:jc w:val="right"/>
    </w:pPr>
    <w:rPr>
      <w:rFonts w:ascii="Arial" w:hAnsi="Arial"/>
      <w:color w:val="CC0033"/>
      <w:sz w:val="28"/>
      <w:szCs w:val="28"/>
      <w:lang w:eastAsia="en-US"/>
    </w:rPr>
  </w:style>
  <w:style w:type="paragraph" w:styleId="TOCHeading">
    <w:name w:val="TOC Heading"/>
    <w:rsid w:val="00D75D16"/>
    <w:rPr>
      <w:rFonts w:ascii="Arial" w:hAnsi="Arial"/>
      <w:color w:val="CC0033"/>
      <w:sz w:val="28"/>
      <w:szCs w:val="28"/>
      <w:lang w:eastAsia="en-US"/>
    </w:rPr>
  </w:style>
  <w:style w:type="paragraph" w:customStyle="1" w:styleId="TOC1referencesSectionLevel1">
    <w:name w:val="TOC1 (references Section Level 1)"/>
    <w:rsid w:val="00F802BE"/>
    <w:pPr>
      <w:tabs>
        <w:tab w:val="left" w:pos="1440"/>
        <w:tab w:val="right" w:pos="8640"/>
      </w:tabs>
      <w:spacing w:before="120"/>
      <w:ind w:left="1440" w:right="737" w:hanging="873"/>
    </w:pPr>
    <w:rPr>
      <w:rFonts w:ascii="Arial" w:hAnsi="Arial"/>
      <w:color w:val="000000"/>
      <w:sz w:val="24"/>
      <w:szCs w:val="24"/>
      <w:lang w:eastAsia="en-US"/>
    </w:rPr>
  </w:style>
  <w:style w:type="paragraph" w:customStyle="1" w:styleId="TOC2referencesAnnexLevel1">
    <w:name w:val="TOC2 (references Annex Level 1)"/>
    <w:rsid w:val="00EA7E95"/>
    <w:pPr>
      <w:tabs>
        <w:tab w:val="left" w:pos="1440"/>
        <w:tab w:val="right" w:pos="8640"/>
      </w:tabs>
      <w:spacing w:before="120"/>
      <w:ind w:left="1440" w:right="737" w:hanging="873"/>
    </w:pPr>
    <w:rPr>
      <w:rFonts w:ascii="Arial" w:hAnsi="Arial"/>
      <w:color w:val="000000"/>
      <w:sz w:val="24"/>
      <w:szCs w:val="24"/>
      <w:lang w:eastAsia="en-US"/>
    </w:rPr>
  </w:style>
  <w:style w:type="character" w:customStyle="1" w:styleId="SectionibulletsCharChar">
    <w:name w:val="Section i bullets Char Char"/>
    <w:basedOn w:val="DefaultParagraphFont"/>
    <w:link w:val="Sectionibullets"/>
    <w:rsid w:val="006B1873"/>
    <w:rPr>
      <w:rFonts w:ascii="Arial" w:hAnsi="Arial"/>
      <w:color w:val="000000"/>
      <w:sz w:val="22"/>
      <w:szCs w:val="22"/>
      <w:lang w:val="en-GB" w:eastAsia="en-US" w:bidi="ar-SA"/>
    </w:rPr>
  </w:style>
  <w:style w:type="paragraph" w:customStyle="1" w:styleId="Sectionibullets">
    <w:name w:val="Section i bullets"/>
    <w:link w:val="SectionibulletsCharChar"/>
    <w:rsid w:val="006B1873"/>
    <w:pPr>
      <w:numPr>
        <w:ilvl w:val="5"/>
        <w:numId w:val="33"/>
      </w:numPr>
      <w:spacing w:after="240"/>
    </w:pPr>
    <w:rPr>
      <w:rFonts w:ascii="Arial" w:hAnsi="Arial"/>
      <w:color w:val="000000"/>
      <w:sz w:val="22"/>
      <w:szCs w:val="22"/>
      <w:lang w:eastAsia="en-US"/>
    </w:rPr>
  </w:style>
  <w:style w:type="paragraph" w:customStyle="1" w:styleId="SectionBullets">
    <w:name w:val="Section Bullets"/>
    <w:rsid w:val="00D36CEA"/>
    <w:pPr>
      <w:numPr>
        <w:numId w:val="3"/>
      </w:numPr>
      <w:spacing w:after="240"/>
    </w:pPr>
    <w:rPr>
      <w:rFonts w:ascii="Arial" w:hAnsi="Arial"/>
      <w:color w:val="000000"/>
      <w:sz w:val="22"/>
      <w:szCs w:val="22"/>
      <w:lang w:eastAsia="en-US"/>
    </w:rPr>
  </w:style>
  <w:style w:type="paragraph" w:customStyle="1" w:styleId="SectionSub-bullets">
    <w:name w:val="Section Sub-bullets"/>
    <w:rsid w:val="00D36CEA"/>
    <w:pPr>
      <w:numPr>
        <w:numId w:val="4"/>
      </w:numPr>
      <w:tabs>
        <w:tab w:val="left" w:pos="1368"/>
      </w:tabs>
      <w:spacing w:after="240"/>
    </w:pPr>
    <w:rPr>
      <w:rFonts w:ascii="Arial" w:hAnsi="Arial"/>
      <w:color w:val="000000"/>
      <w:sz w:val="22"/>
      <w:szCs w:val="22"/>
      <w:lang w:eastAsia="en-US"/>
    </w:rPr>
  </w:style>
  <w:style w:type="paragraph" w:customStyle="1" w:styleId="Section2ndSubHeading">
    <w:name w:val="Section 2nd Sub Heading"/>
    <w:next w:val="SectionBodyText"/>
    <w:qFormat/>
    <w:rsid w:val="00816C5D"/>
    <w:pPr>
      <w:keepNext/>
      <w:keepLines/>
      <w:spacing w:after="240"/>
    </w:pPr>
    <w:rPr>
      <w:rFonts w:ascii="Arial" w:hAnsi="Arial"/>
      <w:b/>
      <w:color w:val="000000"/>
      <w:sz w:val="24"/>
      <w:szCs w:val="24"/>
      <w:lang w:eastAsia="en-US"/>
    </w:rPr>
  </w:style>
  <w:style w:type="paragraph" w:customStyle="1" w:styleId="SectionLevel2">
    <w:name w:val="Section Level 2"/>
    <w:next w:val="SectionBodyText"/>
    <w:qFormat/>
    <w:rsid w:val="00853C36"/>
    <w:pPr>
      <w:keepNext/>
      <w:keepLines/>
      <w:numPr>
        <w:ilvl w:val="2"/>
        <w:numId w:val="33"/>
      </w:numPr>
      <w:spacing w:after="240"/>
    </w:pPr>
    <w:rPr>
      <w:rFonts w:ascii="Arial" w:hAnsi="Arial"/>
      <w:b/>
      <w:color w:val="CC0033"/>
      <w:sz w:val="28"/>
      <w:szCs w:val="24"/>
      <w:lang w:eastAsia="en-US"/>
    </w:rPr>
  </w:style>
  <w:style w:type="paragraph" w:customStyle="1" w:styleId="SectionBodyText">
    <w:name w:val="Section Body Text"/>
    <w:qFormat/>
    <w:rsid w:val="006B1873"/>
    <w:pPr>
      <w:numPr>
        <w:ilvl w:val="3"/>
        <w:numId w:val="33"/>
      </w:numPr>
      <w:spacing w:after="240"/>
    </w:pPr>
    <w:rPr>
      <w:rFonts w:ascii="Arial" w:hAnsi="Arial"/>
      <w:color w:val="000000"/>
      <w:sz w:val="22"/>
      <w:szCs w:val="22"/>
      <w:lang w:eastAsia="en-US"/>
    </w:rPr>
  </w:style>
  <w:style w:type="paragraph" w:customStyle="1" w:styleId="Section3rdSubheading">
    <w:name w:val="Section 3rd Subheading"/>
    <w:next w:val="SectionBodyText"/>
    <w:qFormat/>
    <w:rsid w:val="00816C5D"/>
    <w:pPr>
      <w:keepNext/>
      <w:keepLines/>
      <w:spacing w:after="240"/>
    </w:pPr>
    <w:rPr>
      <w:rFonts w:ascii="Arial" w:hAnsi="Arial"/>
      <w:color w:val="000000"/>
      <w:sz w:val="24"/>
      <w:szCs w:val="24"/>
      <w:u w:val="single"/>
      <w:lang w:eastAsia="en-US"/>
    </w:rPr>
  </w:style>
  <w:style w:type="paragraph" w:customStyle="1" w:styleId="SectionNumber">
    <w:name w:val="Section Number"/>
    <w:next w:val="SectionLevel1"/>
    <w:link w:val="SectionNumberCharChar"/>
    <w:rsid w:val="006B1873"/>
    <w:pPr>
      <w:pageBreakBefore/>
      <w:numPr>
        <w:numId w:val="33"/>
      </w:numPr>
      <w:spacing w:after="240"/>
    </w:pPr>
    <w:rPr>
      <w:rFonts w:ascii="Arial" w:hAnsi="Arial"/>
      <w:b/>
      <w:color w:val="CC0033"/>
      <w:sz w:val="24"/>
      <w:szCs w:val="24"/>
      <w:lang w:eastAsia="en-US"/>
    </w:rPr>
  </w:style>
  <w:style w:type="paragraph" w:customStyle="1" w:styleId="SectionLevel1">
    <w:name w:val="Section Level 1"/>
    <w:next w:val="SectionLevel2"/>
    <w:rsid w:val="006B1873"/>
    <w:pPr>
      <w:keepNext/>
      <w:numPr>
        <w:ilvl w:val="1"/>
        <w:numId w:val="33"/>
      </w:numPr>
      <w:spacing w:before="240" w:after="240"/>
    </w:pPr>
    <w:rPr>
      <w:rFonts w:ascii="Arial" w:hAnsi="Arial"/>
      <w:color w:val="CC0033"/>
      <w:sz w:val="48"/>
      <w:szCs w:val="48"/>
    </w:rPr>
  </w:style>
  <w:style w:type="character" w:customStyle="1" w:styleId="SectionNumberCharChar">
    <w:name w:val="Section Number Char Char"/>
    <w:basedOn w:val="DefaultParagraphFont"/>
    <w:link w:val="SectionNumber"/>
    <w:rsid w:val="006B1873"/>
    <w:rPr>
      <w:rFonts w:ascii="Arial" w:hAnsi="Arial"/>
      <w:b/>
      <w:color w:val="CC0033"/>
      <w:sz w:val="24"/>
      <w:szCs w:val="24"/>
      <w:lang w:val="en-GB" w:eastAsia="en-US" w:bidi="ar-SA"/>
    </w:rPr>
  </w:style>
  <w:style w:type="paragraph" w:styleId="Header">
    <w:name w:val="header"/>
    <w:basedOn w:val="Normal"/>
    <w:rsid w:val="00AE0097"/>
    <w:pPr>
      <w:tabs>
        <w:tab w:val="center" w:pos="4153"/>
        <w:tab w:val="right" w:pos="8306"/>
      </w:tabs>
    </w:pPr>
    <w:rPr>
      <w:sz w:val="18"/>
      <w:szCs w:val="18"/>
      <w:lang w:eastAsia="en-GB"/>
    </w:rPr>
  </w:style>
  <w:style w:type="paragraph" w:styleId="HTMLPreformatted">
    <w:name w:val="HTML Preformatted"/>
    <w:basedOn w:val="Normal"/>
    <w:semiHidden/>
    <w:rsid w:val="00E57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en-US"/>
    </w:rPr>
  </w:style>
  <w:style w:type="paragraph" w:customStyle="1" w:styleId="AnnexBullets">
    <w:name w:val="Annex Bullets"/>
    <w:qFormat/>
    <w:rsid w:val="006969B8"/>
    <w:pPr>
      <w:numPr>
        <w:numId w:val="1"/>
      </w:numPr>
      <w:spacing w:after="240"/>
    </w:pPr>
    <w:rPr>
      <w:rFonts w:ascii="Arial" w:hAnsi="Arial"/>
      <w:color w:val="000000"/>
      <w:sz w:val="22"/>
      <w:szCs w:val="22"/>
      <w:lang w:eastAsia="en-US"/>
    </w:rPr>
  </w:style>
  <w:style w:type="paragraph" w:customStyle="1" w:styleId="AnnexSub-bullets">
    <w:name w:val="Annex Sub-bullets"/>
    <w:rsid w:val="006969B8"/>
    <w:pPr>
      <w:numPr>
        <w:numId w:val="2"/>
      </w:numPr>
      <w:tabs>
        <w:tab w:val="left" w:pos="1368"/>
      </w:tabs>
      <w:spacing w:after="240"/>
    </w:pPr>
    <w:rPr>
      <w:rFonts w:ascii="Arial" w:hAnsi="Arial"/>
      <w:color w:val="000000"/>
      <w:sz w:val="22"/>
      <w:szCs w:val="22"/>
      <w:lang w:eastAsia="en-US"/>
    </w:rPr>
  </w:style>
  <w:style w:type="paragraph" w:customStyle="1" w:styleId="Sectionabullets">
    <w:name w:val="Section a bullets"/>
    <w:qFormat/>
    <w:rsid w:val="006B1873"/>
    <w:pPr>
      <w:numPr>
        <w:ilvl w:val="4"/>
        <w:numId w:val="33"/>
      </w:numPr>
      <w:spacing w:after="240"/>
    </w:pPr>
    <w:rPr>
      <w:rFonts w:ascii="Arial" w:hAnsi="Arial"/>
      <w:color w:val="000000"/>
      <w:sz w:val="22"/>
      <w:szCs w:val="22"/>
      <w:lang w:eastAsia="en-US"/>
    </w:rPr>
  </w:style>
  <w:style w:type="paragraph" w:customStyle="1" w:styleId="Annex2ndSubHeading">
    <w:name w:val="Annex 2nd Sub Heading"/>
    <w:next w:val="AnnexBodyText"/>
    <w:qFormat/>
    <w:rsid w:val="00AF1F97"/>
    <w:pPr>
      <w:keepNext/>
      <w:keepLines/>
      <w:spacing w:after="240"/>
    </w:pPr>
    <w:rPr>
      <w:rFonts w:ascii="Arial" w:hAnsi="Arial"/>
      <w:b/>
      <w:color w:val="000000"/>
      <w:sz w:val="24"/>
      <w:szCs w:val="24"/>
      <w:lang w:eastAsia="en-US"/>
    </w:rPr>
  </w:style>
  <w:style w:type="paragraph" w:customStyle="1" w:styleId="Annex3rdSubHeading">
    <w:name w:val="Annex 3rd Sub Heading"/>
    <w:next w:val="AnnexBodyText"/>
    <w:qFormat/>
    <w:rsid w:val="00AF1F97"/>
    <w:pPr>
      <w:keepNext/>
      <w:keepLines/>
      <w:spacing w:after="240"/>
    </w:pPr>
    <w:rPr>
      <w:rFonts w:ascii="Arial" w:hAnsi="Arial"/>
      <w:color w:val="000000"/>
      <w:sz w:val="24"/>
      <w:szCs w:val="24"/>
      <w:u w:val="single"/>
      <w:lang w:eastAsia="en-US"/>
    </w:rPr>
  </w:style>
  <w:style w:type="paragraph" w:customStyle="1" w:styleId="Quotations">
    <w:name w:val="Quotations"/>
    <w:qFormat/>
    <w:rsid w:val="00EA7E95"/>
    <w:pPr>
      <w:spacing w:after="240"/>
      <w:ind w:left="1440" w:right="880"/>
    </w:pPr>
    <w:rPr>
      <w:rFonts w:ascii="Arial" w:hAnsi="Arial"/>
      <w:color w:val="000000"/>
      <w:sz w:val="22"/>
      <w:szCs w:val="22"/>
      <w:lang w:eastAsia="en-US"/>
    </w:rPr>
  </w:style>
  <w:style w:type="character" w:customStyle="1" w:styleId="OfcomHyperlink">
    <w:name w:val="Ofcom Hyperlink"/>
    <w:rsid w:val="00BC67DB"/>
    <w:rPr>
      <w:rFonts w:ascii="Arial" w:hAnsi="Arial"/>
      <w:color w:val="CC0033"/>
      <w:sz w:val="22"/>
      <w:szCs w:val="22"/>
      <w:u w:val="single"/>
    </w:rPr>
  </w:style>
  <w:style w:type="paragraph" w:customStyle="1" w:styleId="ContentsHeading">
    <w:name w:val="Contents Heading"/>
    <w:rsid w:val="00D75D16"/>
    <w:rPr>
      <w:rFonts w:ascii="Arial" w:hAnsi="Arial"/>
      <w:color w:val="CC0033"/>
      <w:sz w:val="48"/>
      <w:szCs w:val="48"/>
      <w:lang w:eastAsia="en-US"/>
    </w:rPr>
  </w:style>
  <w:style w:type="paragraph" w:styleId="Caption">
    <w:name w:val="caption"/>
    <w:qFormat/>
    <w:rsid w:val="007477CC"/>
    <w:pPr>
      <w:keepNext/>
      <w:spacing w:before="120" w:after="120"/>
    </w:pPr>
    <w:rPr>
      <w:rFonts w:ascii="Arial" w:hAnsi="Arial"/>
      <w:b/>
      <w:bCs/>
      <w:color w:val="800080"/>
      <w:sz w:val="22"/>
      <w:szCs w:val="22"/>
      <w:lang w:eastAsia="en-US"/>
    </w:rPr>
  </w:style>
  <w:style w:type="paragraph" w:styleId="Footer">
    <w:name w:val="footer"/>
    <w:basedOn w:val="Normal"/>
    <w:semiHidden/>
    <w:rsid w:val="00AE0097"/>
    <w:pPr>
      <w:tabs>
        <w:tab w:val="center" w:pos="4153"/>
        <w:tab w:val="right" w:pos="9057"/>
      </w:tabs>
    </w:pPr>
    <w:rPr>
      <w:szCs w:val="28"/>
      <w:lang w:eastAsia="en-GB"/>
    </w:rPr>
  </w:style>
  <w:style w:type="paragraph" w:styleId="PlainText">
    <w:name w:val="Plain Text"/>
    <w:basedOn w:val="Normal"/>
    <w:semiHidden/>
    <w:rsid w:val="006B29B2"/>
    <w:rPr>
      <w:rFonts w:ascii="Courier New" w:hAnsi="Courier New"/>
      <w:b/>
      <w:sz w:val="20"/>
      <w:szCs w:val="28"/>
      <w:lang w:eastAsia="en-GB"/>
    </w:rPr>
  </w:style>
  <w:style w:type="paragraph" w:styleId="TOC1">
    <w:name w:val="toc 1"/>
    <w:autoRedefine/>
    <w:uiPriority w:val="39"/>
    <w:rsid w:val="00D36CEA"/>
    <w:pPr>
      <w:tabs>
        <w:tab w:val="left" w:pos="1440"/>
        <w:tab w:val="right" w:pos="8640"/>
      </w:tabs>
      <w:spacing w:before="120"/>
      <w:ind w:left="1440" w:right="737" w:hanging="873"/>
    </w:pPr>
    <w:rPr>
      <w:rFonts w:ascii="Arial" w:hAnsi="Arial"/>
      <w:sz w:val="22"/>
      <w:szCs w:val="24"/>
      <w:lang w:eastAsia="en-US"/>
    </w:rPr>
  </w:style>
  <w:style w:type="character" w:styleId="Hyperlink">
    <w:name w:val="Hyperlink"/>
    <w:uiPriority w:val="99"/>
    <w:rsid w:val="00B616F7"/>
    <w:rPr>
      <w:rFonts w:ascii="Arial" w:hAnsi="Arial"/>
      <w:color w:val="CC0033"/>
      <w:sz w:val="22"/>
      <w:szCs w:val="22"/>
      <w:u w:val="single"/>
    </w:rPr>
  </w:style>
  <w:style w:type="character" w:styleId="PageNumber">
    <w:name w:val="page number"/>
    <w:basedOn w:val="DefaultParagraphFont"/>
    <w:semiHidden/>
    <w:rsid w:val="00035273"/>
  </w:style>
  <w:style w:type="paragraph" w:customStyle="1" w:styleId="OfcomDates">
    <w:name w:val="Ofcom Dates"/>
    <w:rsid w:val="00B1624A"/>
    <w:pPr>
      <w:framePr w:hSpace="180" w:wrap="around" w:vAnchor="text" w:hAnchor="margin" w:x="108" w:y="50"/>
      <w:jc w:val="right"/>
    </w:pPr>
    <w:rPr>
      <w:rFonts w:ascii="Arial" w:hAnsi="Arial"/>
      <w:color w:val="000000"/>
      <w:sz w:val="28"/>
      <w:szCs w:val="48"/>
      <w:lang w:eastAsia="en-US"/>
    </w:rPr>
  </w:style>
  <w:style w:type="paragraph" w:customStyle="1" w:styleId="Annexibullets">
    <w:name w:val="Annex i bullets"/>
    <w:rsid w:val="00B969C2"/>
    <w:pPr>
      <w:numPr>
        <w:ilvl w:val="5"/>
        <w:numId w:val="20"/>
      </w:numPr>
      <w:spacing w:after="240"/>
    </w:pPr>
    <w:rPr>
      <w:rFonts w:ascii="Arial" w:hAnsi="Arial"/>
      <w:color w:val="000000"/>
      <w:sz w:val="22"/>
      <w:szCs w:val="22"/>
      <w:lang w:eastAsia="en-US"/>
    </w:rPr>
  </w:style>
  <w:style w:type="paragraph" w:customStyle="1" w:styleId="AnnexNumber">
    <w:name w:val="Annex Number"/>
    <w:next w:val="AnnexLevel1"/>
    <w:link w:val="AnnexNumberCharChar"/>
    <w:rsid w:val="00BA17FD"/>
    <w:pPr>
      <w:pageBreakBefore/>
      <w:numPr>
        <w:numId w:val="20"/>
      </w:numPr>
      <w:spacing w:after="240"/>
    </w:pPr>
    <w:rPr>
      <w:rFonts w:ascii="Arial" w:hAnsi="Arial"/>
      <w:b/>
      <w:color w:val="CC0033"/>
      <w:sz w:val="24"/>
      <w:szCs w:val="24"/>
      <w:lang w:eastAsia="en-US"/>
    </w:rPr>
  </w:style>
  <w:style w:type="paragraph" w:customStyle="1" w:styleId="AnnexLevel1">
    <w:name w:val="Annex Level 1"/>
    <w:next w:val="AnnexLevel2"/>
    <w:rsid w:val="00B969C2"/>
    <w:pPr>
      <w:keepNext/>
      <w:numPr>
        <w:ilvl w:val="1"/>
        <w:numId w:val="20"/>
      </w:numPr>
      <w:spacing w:before="240" w:after="240"/>
    </w:pPr>
    <w:rPr>
      <w:rFonts w:ascii="Arial" w:hAnsi="Arial"/>
      <w:color w:val="CC0033"/>
      <w:sz w:val="48"/>
      <w:szCs w:val="48"/>
    </w:rPr>
  </w:style>
  <w:style w:type="paragraph" w:customStyle="1" w:styleId="AnnexLevel2">
    <w:name w:val="Annex Level 2"/>
    <w:next w:val="AnnexBodyText"/>
    <w:qFormat/>
    <w:rsid w:val="00853C36"/>
    <w:pPr>
      <w:keepNext/>
      <w:keepLines/>
      <w:numPr>
        <w:ilvl w:val="2"/>
        <w:numId w:val="20"/>
      </w:numPr>
      <w:spacing w:after="240"/>
    </w:pPr>
    <w:rPr>
      <w:rFonts w:ascii="Arial" w:hAnsi="Arial"/>
      <w:b/>
      <w:color w:val="CC0033"/>
      <w:sz w:val="28"/>
      <w:szCs w:val="24"/>
      <w:lang w:eastAsia="en-US"/>
    </w:rPr>
  </w:style>
  <w:style w:type="paragraph" w:customStyle="1" w:styleId="Annexabullets">
    <w:name w:val="Annex a bullets"/>
    <w:qFormat/>
    <w:rsid w:val="00B969C2"/>
    <w:pPr>
      <w:numPr>
        <w:ilvl w:val="4"/>
        <w:numId w:val="20"/>
      </w:numPr>
      <w:spacing w:after="240"/>
    </w:pPr>
    <w:rPr>
      <w:rFonts w:ascii="Arial" w:hAnsi="Arial"/>
      <w:color w:val="000000"/>
      <w:sz w:val="22"/>
      <w:szCs w:val="22"/>
      <w:lang w:eastAsia="en-US"/>
    </w:rPr>
  </w:style>
  <w:style w:type="paragraph" w:customStyle="1" w:styleId="AnnexBodyText">
    <w:name w:val="Annex Body Text"/>
    <w:qFormat/>
    <w:rsid w:val="00B969C2"/>
    <w:pPr>
      <w:numPr>
        <w:ilvl w:val="3"/>
        <w:numId w:val="20"/>
      </w:numPr>
      <w:spacing w:after="240"/>
    </w:pPr>
    <w:rPr>
      <w:rFonts w:ascii="Arial" w:hAnsi="Arial"/>
      <w:color w:val="000000"/>
      <w:sz w:val="22"/>
      <w:szCs w:val="22"/>
      <w:lang w:eastAsia="en-US"/>
    </w:rPr>
  </w:style>
  <w:style w:type="character" w:customStyle="1" w:styleId="AnnexNumberCharChar">
    <w:name w:val="Annex Number Char Char"/>
    <w:basedOn w:val="DefaultParagraphFont"/>
    <w:link w:val="AnnexNumber"/>
    <w:rsid w:val="00BA17FD"/>
    <w:rPr>
      <w:rFonts w:ascii="Arial" w:hAnsi="Arial"/>
      <w:b/>
      <w:color w:val="CC0033"/>
      <w:sz w:val="24"/>
      <w:szCs w:val="24"/>
      <w:lang w:val="en-GB" w:eastAsia="en-US" w:bidi="ar-SA"/>
    </w:rPr>
  </w:style>
  <w:style w:type="paragraph" w:styleId="FootnoteText">
    <w:name w:val="footnote text"/>
    <w:basedOn w:val="Normal"/>
    <w:link w:val="FootnoteTextChar"/>
    <w:rsid w:val="002D3002"/>
    <w:rPr>
      <w:sz w:val="20"/>
      <w:szCs w:val="20"/>
    </w:rPr>
  </w:style>
  <w:style w:type="character" w:customStyle="1" w:styleId="FootnoteTextChar">
    <w:name w:val="Footnote Text Char"/>
    <w:basedOn w:val="DefaultParagraphFont"/>
    <w:link w:val="FootnoteText"/>
    <w:rsid w:val="002D3002"/>
    <w:rPr>
      <w:rFonts w:ascii="Arial" w:hAnsi="Arial"/>
      <w:lang w:eastAsia="en-US"/>
    </w:rPr>
  </w:style>
  <w:style w:type="character" w:styleId="FootnoteReference">
    <w:name w:val="footnote reference"/>
    <w:basedOn w:val="DefaultParagraphFont"/>
    <w:rsid w:val="002D3002"/>
    <w:rPr>
      <w:vertAlign w:val="superscript"/>
    </w:rPr>
  </w:style>
  <w:style w:type="table" w:styleId="TableGrid">
    <w:name w:val="Table Grid"/>
    <w:basedOn w:val="TableNormal"/>
    <w:rsid w:val="00724CE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1415891">
      <w:bodyDiv w:val="1"/>
      <w:marLeft w:val="0"/>
      <w:marRight w:val="0"/>
      <w:marTop w:val="0"/>
      <w:marBottom w:val="0"/>
      <w:divBdr>
        <w:top w:val="none" w:sz="0" w:space="0" w:color="auto"/>
        <w:left w:val="none" w:sz="0" w:space="0" w:color="auto"/>
        <w:bottom w:val="none" w:sz="0" w:space="0" w:color="auto"/>
        <w:right w:val="none" w:sz="0" w:space="0" w:color="auto"/>
      </w:divBdr>
      <w:divsChild>
        <w:div w:id="1806657832">
          <w:marLeft w:val="0"/>
          <w:marRight w:val="0"/>
          <w:marTop w:val="0"/>
          <w:marBottom w:val="0"/>
          <w:divBdr>
            <w:top w:val="none" w:sz="0" w:space="0" w:color="auto"/>
            <w:left w:val="none" w:sz="0" w:space="0" w:color="auto"/>
            <w:bottom w:val="none" w:sz="0" w:space="0" w:color="auto"/>
            <w:right w:val="none" w:sz="0" w:space="0" w:color="auto"/>
          </w:divBdr>
          <w:divsChild>
            <w:div w:id="389689227">
              <w:marLeft w:val="0"/>
              <w:marRight w:val="0"/>
              <w:marTop w:val="0"/>
              <w:marBottom w:val="0"/>
              <w:divBdr>
                <w:top w:val="none" w:sz="0" w:space="0" w:color="auto"/>
                <w:left w:val="none" w:sz="0" w:space="0" w:color="auto"/>
                <w:bottom w:val="none" w:sz="0" w:space="0" w:color="auto"/>
                <w:right w:val="none" w:sz="0" w:space="0" w:color="auto"/>
              </w:divBdr>
              <w:divsChild>
                <w:div w:id="1395159839">
                  <w:marLeft w:val="0"/>
                  <w:marRight w:val="0"/>
                  <w:marTop w:val="0"/>
                  <w:marBottom w:val="0"/>
                  <w:divBdr>
                    <w:top w:val="none" w:sz="0" w:space="0" w:color="auto"/>
                    <w:left w:val="none" w:sz="0" w:space="0" w:color="auto"/>
                    <w:bottom w:val="none" w:sz="0" w:space="0" w:color="auto"/>
                    <w:right w:val="none" w:sz="0" w:space="0" w:color="auto"/>
                  </w:divBdr>
                  <w:divsChild>
                    <w:div w:id="1190098604">
                      <w:marLeft w:val="0"/>
                      <w:marRight w:val="0"/>
                      <w:marTop w:val="0"/>
                      <w:marBottom w:val="0"/>
                      <w:divBdr>
                        <w:top w:val="none" w:sz="0" w:space="0" w:color="auto"/>
                        <w:left w:val="none" w:sz="0" w:space="0" w:color="auto"/>
                        <w:bottom w:val="none" w:sz="0" w:space="0" w:color="auto"/>
                        <w:right w:val="none" w:sz="0" w:space="0" w:color="auto"/>
                      </w:divBdr>
                      <w:divsChild>
                        <w:div w:id="1145707517">
                          <w:marLeft w:val="0"/>
                          <w:marRight w:val="0"/>
                          <w:marTop w:val="0"/>
                          <w:marBottom w:val="0"/>
                          <w:divBdr>
                            <w:top w:val="none" w:sz="0" w:space="0" w:color="auto"/>
                            <w:left w:val="none" w:sz="0" w:space="0" w:color="auto"/>
                            <w:bottom w:val="none" w:sz="0" w:space="0" w:color="auto"/>
                            <w:right w:val="none" w:sz="0" w:space="0" w:color="auto"/>
                          </w:divBdr>
                          <w:divsChild>
                            <w:div w:id="1284772764">
                              <w:marLeft w:val="0"/>
                              <w:marRight w:val="0"/>
                              <w:marTop w:val="0"/>
                              <w:marBottom w:val="0"/>
                              <w:divBdr>
                                <w:top w:val="none" w:sz="0" w:space="0" w:color="auto"/>
                                <w:left w:val="none" w:sz="0" w:space="0" w:color="auto"/>
                                <w:bottom w:val="none" w:sz="0" w:space="0" w:color="auto"/>
                                <w:right w:val="none" w:sz="0" w:space="0" w:color="auto"/>
                              </w:divBdr>
                              <w:divsChild>
                                <w:div w:id="84332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4892658">
      <w:bodyDiv w:val="1"/>
      <w:marLeft w:val="0"/>
      <w:marRight w:val="0"/>
      <w:marTop w:val="0"/>
      <w:marBottom w:val="0"/>
      <w:divBdr>
        <w:top w:val="none" w:sz="0" w:space="0" w:color="auto"/>
        <w:left w:val="none" w:sz="0" w:space="0" w:color="auto"/>
        <w:bottom w:val="none" w:sz="0" w:space="0" w:color="auto"/>
        <w:right w:val="none" w:sz="0" w:space="0" w:color="auto"/>
      </w:divBdr>
      <w:divsChild>
        <w:div w:id="932393734">
          <w:marLeft w:val="0"/>
          <w:marRight w:val="0"/>
          <w:marTop w:val="0"/>
          <w:marBottom w:val="0"/>
          <w:divBdr>
            <w:top w:val="none" w:sz="0" w:space="0" w:color="auto"/>
            <w:left w:val="none" w:sz="0" w:space="0" w:color="auto"/>
            <w:bottom w:val="none" w:sz="0" w:space="0" w:color="auto"/>
            <w:right w:val="none" w:sz="0" w:space="0" w:color="auto"/>
          </w:divBdr>
          <w:divsChild>
            <w:div w:id="1959994225">
              <w:marLeft w:val="0"/>
              <w:marRight w:val="0"/>
              <w:marTop w:val="0"/>
              <w:marBottom w:val="0"/>
              <w:divBdr>
                <w:top w:val="none" w:sz="0" w:space="0" w:color="auto"/>
                <w:left w:val="none" w:sz="0" w:space="0" w:color="auto"/>
                <w:bottom w:val="none" w:sz="0" w:space="0" w:color="auto"/>
                <w:right w:val="none" w:sz="0" w:space="0" w:color="auto"/>
              </w:divBdr>
              <w:divsChild>
                <w:div w:id="2128085799">
                  <w:marLeft w:val="0"/>
                  <w:marRight w:val="0"/>
                  <w:marTop w:val="0"/>
                  <w:marBottom w:val="0"/>
                  <w:divBdr>
                    <w:top w:val="none" w:sz="0" w:space="0" w:color="auto"/>
                    <w:left w:val="none" w:sz="0" w:space="0" w:color="auto"/>
                    <w:bottom w:val="none" w:sz="0" w:space="0" w:color="auto"/>
                    <w:right w:val="none" w:sz="0" w:space="0" w:color="auto"/>
                  </w:divBdr>
                  <w:divsChild>
                    <w:div w:id="2058432595">
                      <w:marLeft w:val="0"/>
                      <w:marRight w:val="0"/>
                      <w:marTop w:val="0"/>
                      <w:marBottom w:val="0"/>
                      <w:divBdr>
                        <w:top w:val="none" w:sz="0" w:space="0" w:color="auto"/>
                        <w:left w:val="none" w:sz="0" w:space="0" w:color="auto"/>
                        <w:bottom w:val="none" w:sz="0" w:space="0" w:color="auto"/>
                        <w:right w:val="none" w:sz="0" w:space="0" w:color="auto"/>
                      </w:divBdr>
                      <w:divsChild>
                        <w:div w:id="1393233057">
                          <w:marLeft w:val="0"/>
                          <w:marRight w:val="0"/>
                          <w:marTop w:val="0"/>
                          <w:marBottom w:val="0"/>
                          <w:divBdr>
                            <w:top w:val="none" w:sz="0" w:space="0" w:color="auto"/>
                            <w:left w:val="none" w:sz="0" w:space="0" w:color="auto"/>
                            <w:bottom w:val="none" w:sz="0" w:space="0" w:color="auto"/>
                            <w:right w:val="none" w:sz="0" w:space="0" w:color="auto"/>
                          </w:divBdr>
                          <w:divsChild>
                            <w:div w:id="654643817">
                              <w:marLeft w:val="0"/>
                              <w:marRight w:val="0"/>
                              <w:marTop w:val="0"/>
                              <w:marBottom w:val="0"/>
                              <w:divBdr>
                                <w:top w:val="none" w:sz="0" w:space="0" w:color="auto"/>
                                <w:left w:val="none" w:sz="0" w:space="0" w:color="auto"/>
                                <w:bottom w:val="none" w:sz="0" w:space="0" w:color="auto"/>
                                <w:right w:val="none" w:sz="0" w:space="0" w:color="auto"/>
                              </w:divBdr>
                              <w:divsChild>
                                <w:div w:id="169634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P:\Ofcom%20Office%20Templates\Research%20Template%20Sep0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72FD2-AD2C-4549-AAC5-9B1684455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Research Template Sep09.dot</Template>
  <TotalTime>2</TotalTime>
  <Pages>8</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Research</vt:lpstr>
    </vt:vector>
  </TitlesOfParts>
  <Company>.</Company>
  <LinksUpToDate>false</LinksUpToDate>
  <CharactersWithSpaces>9021</CharactersWithSpaces>
  <SharedDoc>false</SharedDoc>
  <HLinks>
    <vt:vector size="120" baseType="variant">
      <vt:variant>
        <vt:i4>1441843</vt:i4>
      </vt:variant>
      <vt:variant>
        <vt:i4>119</vt:i4>
      </vt:variant>
      <vt:variant>
        <vt:i4>0</vt:i4>
      </vt:variant>
      <vt:variant>
        <vt:i4>5</vt:i4>
      </vt:variant>
      <vt:variant>
        <vt:lpwstr/>
      </vt:variant>
      <vt:variant>
        <vt:lpwstr>_Toc132424227</vt:lpwstr>
      </vt:variant>
      <vt:variant>
        <vt:i4>1441843</vt:i4>
      </vt:variant>
      <vt:variant>
        <vt:i4>113</vt:i4>
      </vt:variant>
      <vt:variant>
        <vt:i4>0</vt:i4>
      </vt:variant>
      <vt:variant>
        <vt:i4>5</vt:i4>
      </vt:variant>
      <vt:variant>
        <vt:lpwstr/>
      </vt:variant>
      <vt:variant>
        <vt:lpwstr>_Toc132424226</vt:lpwstr>
      </vt:variant>
      <vt:variant>
        <vt:i4>1441843</vt:i4>
      </vt:variant>
      <vt:variant>
        <vt:i4>107</vt:i4>
      </vt:variant>
      <vt:variant>
        <vt:i4>0</vt:i4>
      </vt:variant>
      <vt:variant>
        <vt:i4>5</vt:i4>
      </vt:variant>
      <vt:variant>
        <vt:lpwstr/>
      </vt:variant>
      <vt:variant>
        <vt:lpwstr>_Toc132424225</vt:lpwstr>
      </vt:variant>
      <vt:variant>
        <vt:i4>1441843</vt:i4>
      </vt:variant>
      <vt:variant>
        <vt:i4>101</vt:i4>
      </vt:variant>
      <vt:variant>
        <vt:i4>0</vt:i4>
      </vt:variant>
      <vt:variant>
        <vt:i4>5</vt:i4>
      </vt:variant>
      <vt:variant>
        <vt:lpwstr/>
      </vt:variant>
      <vt:variant>
        <vt:lpwstr>_Toc132424224</vt:lpwstr>
      </vt:variant>
      <vt:variant>
        <vt:i4>1441843</vt:i4>
      </vt:variant>
      <vt:variant>
        <vt:i4>95</vt:i4>
      </vt:variant>
      <vt:variant>
        <vt:i4>0</vt:i4>
      </vt:variant>
      <vt:variant>
        <vt:i4>5</vt:i4>
      </vt:variant>
      <vt:variant>
        <vt:lpwstr/>
      </vt:variant>
      <vt:variant>
        <vt:lpwstr>_Toc132424223</vt:lpwstr>
      </vt:variant>
      <vt:variant>
        <vt:i4>1441843</vt:i4>
      </vt:variant>
      <vt:variant>
        <vt:i4>89</vt:i4>
      </vt:variant>
      <vt:variant>
        <vt:i4>0</vt:i4>
      </vt:variant>
      <vt:variant>
        <vt:i4>5</vt:i4>
      </vt:variant>
      <vt:variant>
        <vt:lpwstr/>
      </vt:variant>
      <vt:variant>
        <vt:lpwstr>_Toc132424222</vt:lpwstr>
      </vt:variant>
      <vt:variant>
        <vt:i4>1441843</vt:i4>
      </vt:variant>
      <vt:variant>
        <vt:i4>83</vt:i4>
      </vt:variant>
      <vt:variant>
        <vt:i4>0</vt:i4>
      </vt:variant>
      <vt:variant>
        <vt:i4>5</vt:i4>
      </vt:variant>
      <vt:variant>
        <vt:lpwstr/>
      </vt:variant>
      <vt:variant>
        <vt:lpwstr>_Toc132424221</vt:lpwstr>
      </vt:variant>
      <vt:variant>
        <vt:i4>1441843</vt:i4>
      </vt:variant>
      <vt:variant>
        <vt:i4>77</vt:i4>
      </vt:variant>
      <vt:variant>
        <vt:i4>0</vt:i4>
      </vt:variant>
      <vt:variant>
        <vt:i4>5</vt:i4>
      </vt:variant>
      <vt:variant>
        <vt:lpwstr/>
      </vt:variant>
      <vt:variant>
        <vt:lpwstr>_Toc132424220</vt:lpwstr>
      </vt:variant>
      <vt:variant>
        <vt:i4>1376307</vt:i4>
      </vt:variant>
      <vt:variant>
        <vt:i4>71</vt:i4>
      </vt:variant>
      <vt:variant>
        <vt:i4>0</vt:i4>
      </vt:variant>
      <vt:variant>
        <vt:i4>5</vt:i4>
      </vt:variant>
      <vt:variant>
        <vt:lpwstr/>
      </vt:variant>
      <vt:variant>
        <vt:lpwstr>_Toc132424219</vt:lpwstr>
      </vt:variant>
      <vt:variant>
        <vt:i4>1376307</vt:i4>
      </vt:variant>
      <vt:variant>
        <vt:i4>65</vt:i4>
      </vt:variant>
      <vt:variant>
        <vt:i4>0</vt:i4>
      </vt:variant>
      <vt:variant>
        <vt:i4>5</vt:i4>
      </vt:variant>
      <vt:variant>
        <vt:lpwstr/>
      </vt:variant>
      <vt:variant>
        <vt:lpwstr>_Toc132424218</vt:lpwstr>
      </vt:variant>
      <vt:variant>
        <vt:i4>1376307</vt:i4>
      </vt:variant>
      <vt:variant>
        <vt:i4>56</vt:i4>
      </vt:variant>
      <vt:variant>
        <vt:i4>0</vt:i4>
      </vt:variant>
      <vt:variant>
        <vt:i4>5</vt:i4>
      </vt:variant>
      <vt:variant>
        <vt:lpwstr/>
      </vt:variant>
      <vt:variant>
        <vt:lpwstr>_Toc132683849</vt:lpwstr>
      </vt:variant>
      <vt:variant>
        <vt:i4>1376307</vt:i4>
      </vt:variant>
      <vt:variant>
        <vt:i4>50</vt:i4>
      </vt:variant>
      <vt:variant>
        <vt:i4>0</vt:i4>
      </vt:variant>
      <vt:variant>
        <vt:i4>5</vt:i4>
      </vt:variant>
      <vt:variant>
        <vt:lpwstr/>
      </vt:variant>
      <vt:variant>
        <vt:lpwstr>_Toc132683848</vt:lpwstr>
      </vt:variant>
      <vt:variant>
        <vt:i4>1376307</vt:i4>
      </vt:variant>
      <vt:variant>
        <vt:i4>44</vt:i4>
      </vt:variant>
      <vt:variant>
        <vt:i4>0</vt:i4>
      </vt:variant>
      <vt:variant>
        <vt:i4>5</vt:i4>
      </vt:variant>
      <vt:variant>
        <vt:lpwstr/>
      </vt:variant>
      <vt:variant>
        <vt:lpwstr>_Toc132683847</vt:lpwstr>
      </vt:variant>
      <vt:variant>
        <vt:i4>1376307</vt:i4>
      </vt:variant>
      <vt:variant>
        <vt:i4>38</vt:i4>
      </vt:variant>
      <vt:variant>
        <vt:i4>0</vt:i4>
      </vt:variant>
      <vt:variant>
        <vt:i4>5</vt:i4>
      </vt:variant>
      <vt:variant>
        <vt:lpwstr/>
      </vt:variant>
      <vt:variant>
        <vt:lpwstr>_Toc132683846</vt:lpwstr>
      </vt:variant>
      <vt:variant>
        <vt:i4>1376307</vt:i4>
      </vt:variant>
      <vt:variant>
        <vt:i4>32</vt:i4>
      </vt:variant>
      <vt:variant>
        <vt:i4>0</vt:i4>
      </vt:variant>
      <vt:variant>
        <vt:i4>5</vt:i4>
      </vt:variant>
      <vt:variant>
        <vt:lpwstr/>
      </vt:variant>
      <vt:variant>
        <vt:lpwstr>_Toc132683845</vt:lpwstr>
      </vt:variant>
      <vt:variant>
        <vt:i4>1376307</vt:i4>
      </vt:variant>
      <vt:variant>
        <vt:i4>26</vt:i4>
      </vt:variant>
      <vt:variant>
        <vt:i4>0</vt:i4>
      </vt:variant>
      <vt:variant>
        <vt:i4>5</vt:i4>
      </vt:variant>
      <vt:variant>
        <vt:lpwstr/>
      </vt:variant>
      <vt:variant>
        <vt:lpwstr>_Toc132683844</vt:lpwstr>
      </vt:variant>
      <vt:variant>
        <vt:i4>1376307</vt:i4>
      </vt:variant>
      <vt:variant>
        <vt:i4>20</vt:i4>
      </vt:variant>
      <vt:variant>
        <vt:i4>0</vt:i4>
      </vt:variant>
      <vt:variant>
        <vt:i4>5</vt:i4>
      </vt:variant>
      <vt:variant>
        <vt:lpwstr/>
      </vt:variant>
      <vt:variant>
        <vt:lpwstr>_Toc132683843</vt:lpwstr>
      </vt:variant>
      <vt:variant>
        <vt:i4>1376307</vt:i4>
      </vt:variant>
      <vt:variant>
        <vt:i4>14</vt:i4>
      </vt:variant>
      <vt:variant>
        <vt:i4>0</vt:i4>
      </vt:variant>
      <vt:variant>
        <vt:i4>5</vt:i4>
      </vt:variant>
      <vt:variant>
        <vt:lpwstr/>
      </vt:variant>
      <vt:variant>
        <vt:lpwstr>_Toc132683842</vt:lpwstr>
      </vt:variant>
      <vt:variant>
        <vt:i4>1376307</vt:i4>
      </vt:variant>
      <vt:variant>
        <vt:i4>8</vt:i4>
      </vt:variant>
      <vt:variant>
        <vt:i4>0</vt:i4>
      </vt:variant>
      <vt:variant>
        <vt:i4>5</vt:i4>
      </vt:variant>
      <vt:variant>
        <vt:lpwstr/>
      </vt:variant>
      <vt:variant>
        <vt:lpwstr>_Toc132683841</vt:lpwstr>
      </vt:variant>
      <vt:variant>
        <vt:i4>1376307</vt:i4>
      </vt:variant>
      <vt:variant>
        <vt:i4>2</vt:i4>
      </vt:variant>
      <vt:variant>
        <vt:i4>0</vt:i4>
      </vt:variant>
      <vt:variant>
        <vt:i4>5</vt:i4>
      </vt:variant>
      <vt:variant>
        <vt:lpwstr/>
      </vt:variant>
      <vt:variant>
        <vt:lpwstr>_Toc132683840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Research</dc:title>
  <dc:creator>martin.fenton</dc:creator>
  <cp:lastModifiedBy>martin.fenton</cp:lastModifiedBy>
  <cp:revision>2</cp:revision>
  <cp:lastPrinted>2006-03-29T14:46:00Z</cp:lastPrinted>
  <dcterms:created xsi:type="dcterms:W3CDTF">2012-01-23T15:36:00Z</dcterms:created>
  <dcterms:modified xsi:type="dcterms:W3CDTF">2012-01-23T15:36:00Z</dcterms:modified>
</cp:coreProperties>
</file>